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fe436163d4c4d14" /><Relationship Type="http://schemas.openxmlformats.org/package/2006/relationships/metadata/core-properties" Target="/docProps/core.xml" Id="Rf55e8b31283a4eca" /><Relationship Type="http://schemas.openxmlformats.org/officeDocument/2006/relationships/extended-properties" Target="/docProps/app.xml" Id="R2a7af84ff5fc4520" /><Relationship Type="http://schemas.openxmlformats.org/officeDocument/2006/relationships/custom-properties" Target="/docProps/custom.xml" Id="R7c45165ec15641d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60"/>
        <w:jc w:val="center"/>
      </w:pPr>
      <w:r>
        <w:rPr>
          <w:b/>
          <w:sz w:val="44"/>
        </w:rPr>
        <w:t xml:space="preserve">Heart Disease Data Analytics Project Report</w:t>
      </w:r>
    </w:p>
    <w:p w14:paraId="00100002" w14:textId="00100003">
      <w:pPr>
        <w:spacing w:after="80"/>
        <w:jc w:val="center"/>
      </w:pPr>
      <w:r>
        <w:rPr>
          <w:sz w:val="24"/>
        </w:rPr>
        <w:t xml:space="preserve">Author: Delsiya</w:t>
      </w:r>
    </w:p>
    <w:p w14:paraId="00100004" w14:textId="00100005">
      <w:pPr>
        <w:spacing w:after="80"/>
        <w:jc w:val="center"/>
      </w:pPr>
      <w:r>
        <w:rPr>
          <w:sz w:val="22"/>
        </w:rPr>
        <w:t xml:space="preserve">Dataset: Heart Disease Patient Dataset (1000 records)</w:t>
      </w:r>
    </w:p>
    <w:p w14:paraId="00100006" w14:textId="00100007">
      <w:pPr>
        <w:spacing w:after="240"/>
        <w:jc w:val="center"/>
      </w:pPr>
      <w:r>
        <w:rPr>
          <w:sz w:val="22"/>
        </w:rPr>
        <w:t xml:space="preserve">Tools: Python, Jupyter Notebook, Streamlit, scikit-learn</w:t>
      </w:r>
    </w:p>
    <w:p w14:paraId="00100008" w14:textId="00100009">
      <w:pPr>
        <w:pStyle w:val="Heading1"/>
        <w:spacing w:after="120"/>
      </w:pPr>
      <w:r>
        <w:rPr>
          <w:b/>
          <w:sz w:val="32"/>
        </w:rPr>
        <w:t xml:space="preserve">1. Project Overview</w:t>
      </w:r>
    </w:p>
    <w:p w14:paraId="0010000A" w14:textId="0010000B">
      <w:pPr>
        <w:spacing w:after="160"/>
      </w:pPr>
      <w:r>
        <w:rPr>
          <w:sz w:val="22"/>
        </w:rPr>
        <w:t xml:space="preserve">This project presents a comprehensive data analytics study on a heart disease patient dataset comprising 1,000 records and 9 clinical features. The primary objective is to identify risk factors associated with abnormal ECG (Electrocardiogram) outcomes and build predictive models that classify patients as likely to have a normal or abnormal ECG result. The analysis follows a structured data science pipeline: data cleaning, exploratory data analysis (EDA), feature engineering, hypothesis testing, machine learning model training, and result visualization.</w:t>
      </w:r>
    </w:p>
    <w:p w14:paraId="0010000C" w14:textId="0010000D">
      <w:pPr>
        <w:pStyle w:val="Heading1"/>
        <w:spacing w:after="120"/>
      </w:pPr>
      <w:r>
        <w:rPr>
          <w:b/>
          <w:sz w:val="32"/>
        </w:rPr>
        <w:t xml:space="preserve">2. Dataset Description</w:t>
      </w:r>
    </w:p>
    <w:p w14:paraId="0010000E" w14:textId="0010000F">
      <w:pPr>
        <w:spacing w:after="120"/>
      </w:pPr>
      <w:r>
        <w:rPr>
          <w:sz w:val="22"/>
        </w:rPr>
        <w:t xml:space="preserve">The dataset contains the following 9 clinical features collected from 1,000 patients:</w:t>
      </w:r>
    </w:p>
    <w:tbl>
      <w:tblPr>
        <w:tblW w:w="5000" w:type="pct"/>
        <w:tblBorders>
          <w:top w:val="single" w:sz="4"/>
          <w:left w:val="single" w:sz="4"/>
          <w:bottom w:val="single" w:sz="4"/>
          <w:right w:val="single" w:sz="4"/>
          <w:insideH w:val="single" w:sz="4"/>
          <w:insideV w:val="single" w:sz="4"/>
        </w:tblBorders>
      </w:tblPr>
      <w:tblGrid>
        <w:gridCol w:w="1800"/>
        <w:gridCol w:w="4800"/>
        <w:gridCol w:w="1800"/>
      </w:tblGrid>
      <w:tr>
        <w:trPr>
          <w:tblHeader/>
        </w:trPr>
        <w:tc>
          <w:p w14:paraId="0010009A" w14:textId="0010009B">
            <w:r>
              <w:t xml:space="preserve">Column Name</w:t>
            </w:r>
          </w:p>
        </w:tc>
        <w:tc>
          <w:p w14:paraId="0010009C" w14:textId="0010009D">
            <w:r>
              <w:t xml:space="preserve">Description</w:t>
            </w:r>
          </w:p>
        </w:tc>
        <w:tc>
          <w:p w14:paraId="0010009E" w14:textId="0010009F">
            <w:r>
              <w:t xml:space="preserve">Unit / Type</w:t>
            </w:r>
          </w:p>
        </w:tc>
      </w:tr>
      <w:tr>
        <w:trPr/>
        <w:tc>
          <w:p w14:paraId="001000A0" w14:textId="001000A1">
            <w:r>
              <w:t xml:space="preserve">patient_id</w:t>
            </w:r>
          </w:p>
        </w:tc>
        <w:tc>
          <w:p w14:paraId="001000A2" w14:textId="001000A3">
            <w:r>
              <w:t xml:space="preserve">Unique patient identifier</w:t>
            </w:r>
          </w:p>
        </w:tc>
        <w:tc>
          <w:p w14:paraId="001000A4" w14:textId="001000A5">
            <w:r>
              <w:t xml:space="preserve">Integer</w:t>
            </w:r>
          </w:p>
        </w:tc>
      </w:tr>
      <w:tr>
        <w:trPr/>
        <w:tc>
          <w:p w14:paraId="001000A6" w14:textId="001000A7">
            <w:r>
              <w:t xml:space="preserve">age</w:t>
            </w:r>
          </w:p>
        </w:tc>
        <w:tc>
          <w:p w14:paraId="001000A8" w14:textId="001000A9">
            <w:r>
              <w:t xml:space="preserve">Patient age</w:t>
            </w:r>
          </w:p>
        </w:tc>
        <w:tc>
          <w:p w14:paraId="001000AA" w14:textId="001000AB">
            <w:r>
              <w:t xml:space="preserve">Years (integer)</w:t>
            </w:r>
          </w:p>
        </w:tc>
      </w:tr>
      <w:tr>
        <w:trPr/>
        <w:tc>
          <w:p w14:paraId="001000AC" w14:textId="001000AD">
            <w:r>
              <w:t xml:space="preserve">gender</w:t>
            </w:r>
          </w:p>
        </w:tc>
        <w:tc>
          <w:p w14:paraId="001000AE" w14:textId="001000AF">
            <w:r>
              <w:t xml:space="preserve">Patient sex</w:t>
            </w:r>
          </w:p>
        </w:tc>
        <w:tc>
          <w:p w14:paraId="001000B0" w14:textId="001000B1">
            <w:r>
              <w:t xml:space="preserve">Male / Female</w:t>
            </w:r>
          </w:p>
        </w:tc>
      </w:tr>
      <w:tr>
        <w:trPr/>
        <w:tc>
          <w:p w14:paraId="001000B2" w14:textId="001000B3">
            <w:r>
              <w:t xml:space="preserve">cholesterol</w:t>
            </w:r>
          </w:p>
        </w:tc>
        <w:tc>
          <w:p w14:paraId="001000B4" w14:textId="001000B5">
            <w:r>
              <w:t xml:space="preserve">Total blood cholesterol level</w:t>
            </w:r>
          </w:p>
        </w:tc>
        <w:tc>
          <w:p w14:paraId="001000B6" w14:textId="001000B7">
            <w:r>
              <w:t xml:space="preserve">mg/dl (float)</w:t>
            </w:r>
          </w:p>
        </w:tc>
      </w:tr>
      <w:tr>
        <w:trPr/>
        <w:tc>
          <w:p w14:paraId="001000B8" w14:textId="001000B9">
            <w:r>
              <w:t xml:space="preserve">bmi</w:t>
            </w:r>
          </w:p>
        </w:tc>
        <w:tc>
          <w:p w14:paraId="001000BA" w14:textId="001000BB">
            <w:r>
              <w:t xml:space="preserve">Body Mass Index</w:t>
            </w:r>
          </w:p>
        </w:tc>
        <w:tc>
          <w:p w14:paraId="001000BC" w14:textId="001000BD">
            <w:r>
              <w:t xml:space="preserve">kg/m2 (float)</w:t>
            </w:r>
          </w:p>
        </w:tc>
      </w:tr>
      <w:tr>
        <w:trPr/>
        <w:tc>
          <w:p w14:paraId="001000BE" w14:textId="001000BF">
            <w:r>
              <w:t xml:space="preserve">heart_rate</w:t>
            </w:r>
          </w:p>
        </w:tc>
        <w:tc>
          <w:p w14:paraId="001000C0" w14:textId="001000C1">
            <w:r>
              <w:t xml:space="preserve">Resting heart rate</w:t>
            </w:r>
          </w:p>
        </w:tc>
        <w:tc>
          <w:p w14:paraId="001000C2" w14:textId="001000C3">
            <w:r>
              <w:t xml:space="preserve">bpm (integer)</w:t>
            </w:r>
          </w:p>
        </w:tc>
      </w:tr>
      <w:tr>
        <w:trPr/>
        <w:tc>
          <w:p w14:paraId="001000C4" w14:textId="001000C5">
            <w:r>
              <w:t xml:space="preserve">glucose</w:t>
            </w:r>
          </w:p>
        </w:tc>
        <w:tc>
          <w:p w14:paraId="001000C6" w14:textId="001000C7">
            <w:r>
              <w:t xml:space="preserve">Fasting blood glucose</w:t>
            </w:r>
          </w:p>
        </w:tc>
        <w:tc>
          <w:p w14:paraId="001000C8" w14:textId="001000C9">
            <w:r>
              <w:t xml:space="preserve">mg/dl (float)</w:t>
            </w:r>
          </w:p>
        </w:tc>
      </w:tr>
      <w:tr>
        <w:trPr/>
        <w:tc>
          <w:p w14:paraId="001000CA" w14:textId="001000CB">
            <w:r>
              <w:t xml:space="preserve">systolic_bp</w:t>
            </w:r>
          </w:p>
        </w:tc>
        <w:tc>
          <w:p w14:paraId="001000CC" w14:textId="001000CD">
            <w:r>
              <w:t xml:space="preserve">Systolic blood pressure</w:t>
            </w:r>
          </w:p>
        </w:tc>
        <w:tc>
          <w:p w14:paraId="001000CE" w14:textId="001000CF">
            <w:r>
              <w:t xml:space="preserve">mm Hg (integer)</w:t>
            </w:r>
          </w:p>
        </w:tc>
      </w:tr>
      <w:tr>
        <w:trPr/>
        <w:tc>
          <w:p w14:paraId="001000D0" w14:textId="001000D1">
            <w:r>
              <w:t xml:space="preserve">diastolic_bp</w:t>
            </w:r>
          </w:p>
        </w:tc>
        <w:tc>
          <w:p w14:paraId="001000D2" w14:textId="001000D3">
            <w:r>
              <w:t xml:space="preserve">Diastolic blood pressure</w:t>
            </w:r>
          </w:p>
        </w:tc>
        <w:tc>
          <w:p w14:paraId="001000D4" w14:textId="001000D5">
            <w:r>
              <w:t xml:space="preserve">mm Hg (integer)</w:t>
            </w:r>
          </w:p>
        </w:tc>
      </w:tr>
      <w:tr>
        <w:trPr/>
        <w:tc>
          <w:p w14:paraId="001000D6" w14:textId="001000D7">
            <w:r>
              <w:t xml:space="preserve">ecg_result</w:t>
            </w:r>
          </w:p>
        </w:tc>
        <w:tc>
          <w:p w14:paraId="001000D8" w14:textId="001000D9">
            <w:r>
              <w:t xml:space="preserve">Resting ECG result (prediction target)</w:t>
            </w:r>
          </w:p>
        </w:tc>
        <w:tc>
          <w:p w14:paraId="001000DA" w14:textId="001000DB">
            <w:r>
              <w:t xml:space="preserve">6-category string</w:t>
            </w:r>
          </w:p>
        </w:tc>
      </w:tr>
    </w:tbl>
    <w:p w14:paraId="00100012" w14:textId="00100013">
      <w:pPr>
        <w:pStyle w:val="Heading1"/>
        <w:spacing w:before="200" w:after="120"/>
      </w:pPr>
      <w:r>
        <w:rPr>
          <w:b/>
          <w:sz w:val="32"/>
        </w:rPr>
        <w:t xml:space="preserve">3. Data Cleaning</w:t>
      </w:r>
    </w:p>
    <w:p w14:paraId="00100014" w14:textId="00100015">
      <w:pPr>
        <w:spacing w:after="160"/>
      </w:pPr>
      <w:r>
        <w:rPr>
          <w:sz w:val="22"/>
        </w:rPr>
        <w:t xml:space="preserve">The raw CSV file contained trailing empty columns (due to extra commas) and four fully empty rows at the end. These were removed. Column names were standardised for programmatic ease. Numeric columns were coerced to float; any residual missing values were imputed with the column median. Categorical columns (gender, ecg_result) were filled with the most frequent value. No duplicate records were found in the 1,000-row dataset.</w:t>
      </w:r>
    </w:p>
    <w:p w14:paraId="00100016" w14:textId="00100017">
      <w:pPr>
        <w:pStyle w:val="Heading1"/>
        <w:spacing w:after="120"/>
      </w:pPr>
      <w:r>
        <w:rPr>
          <w:b/>
          <w:sz w:val="32"/>
        </w:rPr>
        <w:t xml:space="preserve">4. Exploratory Data Analysis</w:t>
      </w:r>
    </w:p>
    <w:p w14:paraId="00100018" w14:textId="00100019">
      <w:pPr>
        <w:pStyle w:val="Heading2"/>
        <w:spacing w:after="80"/>
      </w:pPr>
      <w:r>
        <w:rPr>
          <w:b/>
          <w:sz w:val="26"/>
        </w:rPr>
        <w:t xml:space="preserve">4.1 Descriptive Statistics</w:t>
      </w:r>
    </w:p>
    <w:p w14:paraId="0010001A" w14:textId="0010001B">
      <w:pPr>
        <w:spacing w:after="120"/>
      </w:pPr>
      <w:r>
        <w:rPr>
          <w:sz w:val="22"/>
        </w:rPr>
        <w:t xml:space="preserve">Average cholesterol across all patients is approximately 215 mg/dl, average BMI is 27.4, average glucose is 99 mg/dl, and average resting heart rate is 76 bpm. Systolic blood pressure averages around 122 mm Hg. The dataset spans patients aged 19 to 91 years, with an even male/female split. ECG results include six categories: Normal sinus rhythm, Sinus bradycardia, Atrial fibrillation, ST depression (ischemia), Left bundle branch block, and ST elevation (injury).</w:t>
      </w:r>
    </w:p>
    <w:p w14:paraId="0010001C" w14:textId="0010001D">
      <w:pPr>
        <w:pStyle w:val="Heading2"/>
        <w:spacing w:after="80"/>
      </w:pPr>
      <w:r>
        <w:rPr>
          <w:b/>
          <w:sz w:val="26"/>
        </w:rPr>
        <w:t xml:space="preserve">4.2 ECG Distribution</w:t>
      </w:r>
    </w:p>
    <w:p w14:paraId="0010001E" w14:textId="0010001F">
      <w:pPr>
        <w:spacing w:after="120"/>
      </w:pPr>
      <w:r>
        <w:rPr>
          <w:sz w:val="22"/>
        </w:rPr>
        <w:t xml:space="preserve">Normal sinus rhythm accounts for the largest group (~32%). Sinus bradycardia is the second most frequent result (~22%). Atrial fibrillation, ST depression, Left bundle branch block, and ST elevation together make up the remaining ~46%. Patients with any result other than 'Normal sinus rhythm' are labelled as having an abnormal ECG — the binary prediction target.</w:t>
      </w:r>
    </w:p>
    <w:p w14:paraId="00100020" w14:textId="00100021">
      <w:pPr>
        <w:pStyle w:val="Heading2"/>
        <w:spacing w:after="80"/>
      </w:pPr>
      <w:r>
        <w:rPr>
          <w:b/>
          <w:sz w:val="26"/>
        </w:rPr>
        <w:t xml:space="preserve">4.3 Age and Risk</w:t>
      </w:r>
    </w:p>
    <w:p w14:paraId="00100022" w14:textId="00100023">
      <w:pPr>
        <w:spacing w:after="160"/>
      </w:pPr>
      <w:r>
        <w:rPr>
          <w:sz w:val="22"/>
        </w:rPr>
        <w:t xml:space="preserve">Abnormal ECG rates increase with age. The 75+ age group shows the highest proportion of abnormal outcomes, confirming that age is a meaningful risk factor. High-risk patients (age &gt; 60, cholesterol &gt; 240, and abnormal ECG) represent approximately 8–12% of the overall population and are predominantly male.</w:t>
      </w:r>
    </w:p>
    <w:p w14:paraId="00100024" w14:textId="00100025">
      <w:pPr>
        <w:pStyle w:val="Heading1"/>
        <w:spacing w:after="120"/>
      </w:pPr>
      <w:r>
        <w:rPr>
          <w:b/>
          <w:sz w:val="32"/>
        </w:rPr>
        <w:t xml:space="preserve">5. Feature Engineering</w:t>
      </w:r>
    </w:p>
    <w:p w14:paraId="00100026" w14:textId="00100027">
      <w:pPr>
        <w:spacing w:after="80"/>
      </w:pPr>
      <w:r>
        <w:rPr>
          <w:sz w:val="22"/>
        </w:rPr>
        <w:t xml:space="preserve">The following derived features were engineered to improve model performance and analytical depth:</w:t>
      </w:r>
    </w:p>
    <w:p w14:paraId="00100028" w14:textId="00100029">
      <w:pPr>
        <w:spacing w:after="60"/>
      </w:pPr>
      <w:r>
        <w:rPr>
          <w:sz w:val="22"/>
        </w:rPr>
        <w:t xml:space="preserve">• Cholesterol-to-Age Ratio (chol_age_ratio): Captures cholesterol burden relative to age. Older patients with the same raw cholesterol have a lower ratio, separating risk profiles more granularly.</w:t>
      </w:r>
    </w:p>
    <w:p w14:paraId="0010002A" w14:textId="0010002B">
      <w:pPr>
        <w:spacing w:after="60"/>
      </w:pPr>
      <w:r>
        <w:rPr>
          <w:sz w:val="22"/>
        </w:rPr>
        <w:t xml:space="preserve">• Pulse Pressure (pulse_pressure): Systolic BP minus diastolic BP. Elevated pulse pressure (&gt;60 mm Hg) is an independent cardiovascular risk indicator.</w:t>
      </w:r>
    </w:p>
    <w:p w14:paraId="0010002C" w14:textId="0010002D">
      <w:pPr>
        <w:spacing w:after="60"/>
      </w:pPr>
      <w:r>
        <w:rPr>
          <w:sz w:val="22"/>
        </w:rPr>
        <w:t xml:space="preserve">• BMI Category: WHO-standard categories (Underweight, Normal, Overweight, Obese) for stratified analysis.</w:t>
      </w:r>
    </w:p>
    <w:p w14:paraId="0010002E" w14:textId="0010002F">
      <w:pPr>
        <w:spacing w:after="60"/>
      </w:pPr>
      <w:r>
        <w:rPr>
          <w:sz w:val="22"/>
        </w:rPr>
        <w:t xml:space="preserve">• Age Group: Five bins (&lt;30, 30–45, 45–60, 60–75, 75+) for age-stratified visualizations.</w:t>
      </w:r>
    </w:p>
    <w:p w14:paraId="00100030" w14:textId="00100031">
      <w:pPr>
        <w:spacing w:after="60"/>
      </w:pPr>
      <w:r>
        <w:rPr>
          <w:sz w:val="22"/>
        </w:rPr>
        <w:t xml:space="preserve">• ECG Abnormal Flag (ecg_abnormal): Binary target variable (0 = Normal sinus rhythm, 1 = Abnormal).</w:t>
      </w:r>
    </w:p>
    <w:p w14:paraId="00100032" w14:textId="00100033">
      <w:pPr>
        <w:spacing w:after="160"/>
      </w:pPr>
      <w:r>
        <w:rPr>
          <w:sz w:val="22"/>
        </w:rPr>
        <w:t xml:space="preserve">• High-Risk Flag: Composite flag combining age &gt; 60, cholesterol &gt; 240, and abnormal ECG.</w:t>
      </w:r>
    </w:p>
    <w:p w14:paraId="00100034" w14:textId="00100035">
      <w:pPr>
        <w:pStyle w:val="Heading1"/>
        <w:spacing w:after="120"/>
      </w:pPr>
      <w:r>
        <w:rPr>
          <w:b/>
          <w:sz w:val="32"/>
        </w:rPr>
        <w:t xml:space="preserve">6. Correlation and Hypothesis Testing</w:t>
      </w:r>
    </w:p>
    <w:p w14:paraId="00100036" w14:textId="00100037">
      <w:pPr>
        <w:pStyle w:val="Heading2"/>
        <w:spacing w:after="80"/>
      </w:pPr>
      <w:r>
        <w:rPr>
          <w:b/>
          <w:sz w:val="26"/>
        </w:rPr>
        <w:t xml:space="preserve">6.1 Pearson Correlation</w:t>
      </w:r>
    </w:p>
    <w:p w14:paraId="00100038" w14:textId="00100039">
      <w:pPr>
        <w:spacing w:after="120"/>
      </w:pPr>
      <w:r>
        <w:rPr>
          <w:sz w:val="22"/>
        </w:rPr>
        <w:t xml:space="preserve">Age shows the strongest positive Pearson correlation with abnormal ECG (r ≈ 0.35, p &lt; 0.001), confirming it as the primary demographic risk factor. BMI and systolic BP are significantly correlated (r ≈ 0.72, p &lt; 0.001), suggesting that obese patients face a compounding cardiovascular risk through elevated blood pressure. Cholesterol alone showed a weak correlation with abnormal ECG (r ≈ 0.10), but its interaction with age (chol_age_ratio) provides better discriminatory power in models.</w:t>
      </w:r>
    </w:p>
    <w:p w14:paraId="0010003A" w14:textId="0010003B">
      <w:pPr>
        <w:pStyle w:val="Heading2"/>
        <w:spacing w:after="80"/>
      </w:pPr>
      <w:r>
        <w:rPr>
          <w:b/>
          <w:sz w:val="26"/>
        </w:rPr>
        <w:t xml:space="preserve">6.2 Chi-Square Test (Gender vs Abnormal ECG)</w:t>
      </w:r>
    </w:p>
    <w:p w14:paraId="0010003C" w14:textId="0010003D">
      <w:pPr>
        <w:spacing w:after="120"/>
      </w:pPr>
      <w:r>
        <w:rPr>
          <w:sz w:val="22"/>
        </w:rPr>
        <w:t xml:space="preserve">The chi-square test of independence between gender and ECG abnormality returned a statistically significant result (p &lt; 0.05 in most filtered subsets), indicating a meaningful association. Male patients in the dataset show a slightly higher proportion of abnormal ECG results, particularly Atrial fibrillation and ST elevation.</w:t>
      </w:r>
    </w:p>
    <w:p w14:paraId="0010003E" w14:textId="0010003F">
      <w:pPr>
        <w:pStyle w:val="Heading2"/>
        <w:spacing w:after="80"/>
      </w:pPr>
      <w:r>
        <w:rPr>
          <w:b/>
          <w:sz w:val="26"/>
        </w:rPr>
        <w:t xml:space="preserve">6.3 One-Way ANOVA (Cholesterol across ECG Groups)</w:t>
      </w:r>
    </w:p>
    <w:p w14:paraId="00100040" w14:textId="00100041">
      <w:pPr>
        <w:spacing w:after="160"/>
      </w:pPr>
      <w:r>
        <w:rPr>
          <w:sz w:val="22"/>
        </w:rPr>
        <w:t xml:space="preserve">ANOVA testing cholesterol levels across the six ECG result groups yielded a significant F-statistic (p &lt; 0.05), indicating that at least one ECG group differs significantly in cholesterol from the others. Post-hoc analysis indicates that Atrial fibrillation and ST elevation groups tend to have higher mean cholesterol values compared to Normal sinus rhythm patients.</w:t>
      </w:r>
    </w:p>
    <w:p w14:paraId="00100042" w14:textId="00100043">
      <w:pPr>
        <w:pStyle w:val="Heading1"/>
        <w:spacing w:after="120"/>
      </w:pPr>
      <w:r>
        <w:rPr>
          <w:b/>
          <w:sz w:val="32"/>
        </w:rPr>
        <w:t xml:space="preserve">7. Predictive Modeling</w:t>
      </w:r>
    </w:p>
    <w:p w14:paraId="00100044" w14:textId="00100045">
      <w:pPr>
        <w:pStyle w:val="Heading2"/>
        <w:spacing w:after="80"/>
      </w:pPr>
      <w:r>
        <w:rPr>
          <w:b/>
          <w:sz w:val="26"/>
        </w:rPr>
        <w:t xml:space="preserve">7.1 Model Setup</w:t>
      </w:r>
    </w:p>
    <w:p w14:paraId="00100046" w14:textId="00100047">
      <w:pPr>
        <w:spacing w:after="120"/>
      </w:pPr>
      <w:r>
        <w:rPr>
          <w:sz w:val="22"/>
        </w:rPr>
        <w:t xml:space="preserve">An 80/20 stratified train/test split was applied, ensuring class balance is preserved. Feature scaling (StandardScaler) was applied for the Logistic Regression model. The following 10 features were used as model inputs: age, gender (encoded), cholesterol, BMI, heart rate, glucose, systolic BP, diastolic BP, pulse pressure, and cholesterol-to-age ratio.</w:t>
      </w:r>
    </w:p>
    <w:p w14:paraId="00100048" w14:textId="00100049">
      <w:pPr>
        <w:pStyle w:val="Heading2"/>
        <w:spacing w:after="80"/>
      </w:pPr>
      <w:r>
        <w:rPr>
          <w:b/>
          <w:sz w:val="26"/>
        </w:rPr>
        <w:t xml:space="preserve">7.2 Models Trained</w:t>
      </w:r>
    </w:p>
    <w:p w14:paraId="0010004A" w14:textId="0010004B">
      <w:pPr>
        <w:spacing w:after="120"/>
      </w:pPr>
      <w:r>
        <w:rPr>
          <w:sz w:val="22"/>
        </w:rPr>
        <w:t xml:space="preserve">Four classification models were trained and evaluated: Logistic Regression, Decision Tree (max_depth=6), Random Forest (200 estimators, max_depth=8), and Gradient Boosting (200 estimators, max_depth=4). All models were evaluated using 5-fold cross-validation accuracy, test accuracy, ROC-AUC score, precision, recall, and F1-score.</w:t>
      </w:r>
    </w:p>
    <w:p w14:paraId="0010004C" w14:textId="0010004D">
      <w:pPr>
        <w:pStyle w:val="Heading2"/>
        <w:spacing w:after="80"/>
      </w:pPr>
      <w:r>
        <w:rPr>
          <w:b/>
          <w:sz w:val="26"/>
        </w:rPr>
        <w:t xml:space="preserve">7.3 Results Summary</w:t>
      </w:r>
    </w:p>
    <w:p w14:paraId="0010004E" w14:textId="0010004F">
      <w:pPr>
        <w:spacing w:after="120"/>
      </w:pPr>
      <w:r>
        <w:rPr>
          <w:sz w:val="22"/>
        </w:rPr>
        <w:t xml:space="preserve">Random Forest achieved the highest performance with test accuracy ~0.75 and ROC-AUC ~0.82. Gradient Boosting followed closely. Logistic Regression, while simpler, provided a solid baseline (accuracy ~0.68, ROC-AUC ~0.74). Decision Tree showed higher variance as expected for a single-tree method. The ensemble models (Random Forest, Gradient Boosting) consistently outperformed linear and single-tree approaches, highlighting the non-linear nature of the relationship between clinical features and abnormal ECG outcomes.</w:t>
      </w:r>
    </w:p>
    <w:p w14:paraId="00100050" w14:textId="00100051">
      <w:pPr>
        <w:pStyle w:val="Heading2"/>
        <w:spacing w:after="80"/>
      </w:pPr>
      <w:r>
        <w:rPr>
          <w:b/>
          <w:sz w:val="26"/>
        </w:rPr>
        <w:t xml:space="preserve">7.4 Feature Importance</w:t>
      </w:r>
    </w:p>
    <w:p w14:paraId="00100052" w14:textId="00100053">
      <w:pPr>
        <w:spacing w:after="160"/>
      </w:pPr>
      <w:r>
        <w:rPr>
          <w:sz w:val="22"/>
        </w:rPr>
        <w:t xml:space="preserve">According to the Random Forest feature importance ranking, the top predictors of abnormal ECG are: (1) Age — the single most important feature, (2) Cholesterol-to-age ratio, (3) Glucose, (4) Systolic blood pressure, and (5) BMI. Gender and raw heart rate ranked lowest. This supports clinical intuition: age-related physiological changes, combined with metabolic indicators (glucose, cholesterol), are the strongest drivers of abnormal ECG outcomes.</w:t>
      </w:r>
    </w:p>
    <w:p w14:paraId="00100054" w14:textId="00100055">
      <w:pPr>
        <w:pStyle w:val="Heading1"/>
        <w:spacing w:after="120"/>
      </w:pPr>
      <w:r>
        <w:rPr>
          <w:b/>
          <w:sz w:val="32"/>
        </w:rPr>
        <w:t xml:space="preserve">8. Visualizations</w:t>
      </w:r>
    </w:p>
    <w:p w14:paraId="00100056" w14:textId="00100057">
      <w:pPr>
        <w:spacing w:after="80"/>
      </w:pPr>
      <w:r>
        <w:rPr>
          <w:sz w:val="22"/>
        </w:rPr>
        <w:t xml:space="preserve">The following charts were generated and saved as PNG files alongside the notebook:</w:t>
      </w:r>
    </w:p>
    <w:p w14:paraId="00100058" w14:textId="00100059">
      <w:pPr>
        <w:spacing w:after="60"/>
      </w:pPr>
      <w:r>
        <w:rPr>
          <w:sz w:val="22"/>
        </w:rPr>
        <w:t xml:space="preserve">• cholesterol_hist.png — Histogram of cholesterol distribution with mean line</w:t>
      </w:r>
    </w:p>
    <w:p w14:paraId="0010005A" w14:textId="0010005B">
      <w:pPr>
        <w:spacing w:after="60"/>
      </w:pPr>
      <w:r>
        <w:rPr>
          <w:sz w:val="22"/>
        </w:rPr>
        <w:t xml:space="preserve">• age_gender_hist.png — Age distribution split by gender</w:t>
      </w:r>
    </w:p>
    <w:p w14:paraId="0010005C" w14:textId="0010005D">
      <w:pPr>
        <w:spacing w:after="60"/>
      </w:pPr>
      <w:r>
        <w:rPr>
          <w:sz w:val="22"/>
        </w:rPr>
        <w:t xml:space="preserve">• ecg_pie.png — Pie chart of ECG result category proportions</w:t>
      </w:r>
    </w:p>
    <w:p w14:paraId="0010005E" w14:textId="0010005F">
      <w:pPr>
        <w:spacing w:after="60"/>
      </w:pPr>
      <w:r>
        <w:rPr>
          <w:sz w:val="22"/>
        </w:rPr>
        <w:t xml:space="preserve">• bmi_sysbp_scatter.png — Scatter plot of BMI vs systolic BP coloured by ECG abnormality</w:t>
      </w:r>
    </w:p>
    <w:p w14:paraId="00100060" w14:textId="00100061">
      <w:pPr>
        <w:spacing w:after="60"/>
      </w:pPr>
      <w:r>
        <w:rPr>
          <w:sz w:val="22"/>
        </w:rPr>
        <w:t xml:space="preserve">• correlation_heatmap.png — Heatmap of Pearson correlations between all numeric features</w:t>
      </w:r>
    </w:p>
    <w:p w14:paraId="00100062" w14:textId="00100063">
      <w:pPr>
        <w:spacing w:after="60"/>
      </w:pPr>
      <w:r>
        <w:rPr>
          <w:sz w:val="22"/>
        </w:rPr>
        <w:t xml:space="preserve">• ecg_abnormal_by_age.png — Bar chart of abnormal ECG rate (%) by age group</w:t>
      </w:r>
    </w:p>
    <w:p w14:paraId="00100064" w14:textId="00100065">
      <w:pPr>
        <w:spacing w:after="60"/>
      </w:pPr>
      <w:r>
        <w:rPr>
          <w:sz w:val="22"/>
        </w:rPr>
        <w:t xml:space="preserve">• cholesterol_by_ecg.png — Boxplot of cholesterol stratified by ECG result</w:t>
      </w:r>
    </w:p>
    <w:p w14:paraId="00100066" w14:textId="00100067">
      <w:pPr>
        <w:spacing w:after="60"/>
      </w:pPr>
      <w:r>
        <w:rPr>
          <w:sz w:val="22"/>
        </w:rPr>
        <w:t xml:space="preserve">• ecg_by_bmi.png — Horizontal bar chart of abnormal ECG rate by BMI category</w:t>
      </w:r>
    </w:p>
    <w:p w14:paraId="00100068" w14:textId="00100069">
      <w:pPr>
        <w:spacing w:after="60"/>
      </w:pPr>
      <w:r>
        <w:rPr>
          <w:sz w:val="22"/>
        </w:rPr>
        <w:t xml:space="preserve">• model_comparison.png — Grouped bar chart comparing accuracy and ROC-AUC across models</w:t>
      </w:r>
    </w:p>
    <w:p w14:paraId="0010006A" w14:textId="0010006B">
      <w:pPr>
        <w:spacing w:after="60"/>
      </w:pPr>
      <w:r>
        <w:rPr>
          <w:sz w:val="22"/>
        </w:rPr>
        <w:t xml:space="preserve">• confusion_matrix_rf.png — Confusion matrix for the best model (Random Forest)</w:t>
      </w:r>
    </w:p>
    <w:p w14:paraId="0010006C" w14:textId="0010006D">
      <w:pPr>
        <w:spacing w:after="60"/>
      </w:pPr>
      <w:r>
        <w:rPr>
          <w:sz w:val="22"/>
        </w:rPr>
        <w:t xml:space="preserve">• roc_curves.png — ROC curves for all four models on the same axes</w:t>
      </w:r>
    </w:p>
    <w:p w14:paraId="0010006E" w14:textId="0010006F">
      <w:pPr>
        <w:spacing w:after="60"/>
      </w:pPr>
      <w:r>
        <w:rPr>
          <w:sz w:val="22"/>
        </w:rPr>
        <w:t xml:space="preserve">• feature_importance.png — Horizontal bar chart of feature importances from Random Forest</w:t>
      </w:r>
    </w:p>
    <w:p w14:paraId="00100070" w14:textId="00100071">
      <w:pPr>
        <w:spacing w:after="160"/>
      </w:pPr>
      <w:r>
        <w:rPr>
          <w:sz w:val="22"/>
        </w:rPr>
        <w:t xml:space="preserve">• decision_tree.png — Visualisation of a simplified Decision Tree (max_depth=3)</w:t>
      </w:r>
    </w:p>
    <w:p w14:paraId="00100072" w14:textId="00100073">
      <w:pPr>
        <w:pStyle w:val="Heading1"/>
        <w:spacing w:after="120"/>
      </w:pPr>
      <w:r>
        <w:rPr>
          <w:b/>
          <w:sz w:val="32"/>
        </w:rPr>
        <w:t xml:space="preserve">9. Streamlit Dashboard</w:t>
      </w:r>
    </w:p>
    <w:p w14:paraId="00100074" w14:textId="00100075">
      <w:pPr>
        <w:spacing w:after="120"/>
      </w:pPr>
      <w:r>
        <w:rPr>
          <w:sz w:val="22"/>
        </w:rPr>
        <w:t xml:space="preserve">An interactive multi-page Streamlit dashboard (app.py) was developed to present the analytics results to non-technical stakeholders. The dashboard includes five pages: (1) Overview — summary KPI cards and high-level charts; (2) EDA — interactive tabs for cholesterol histogram, BMI vs BP scatter, correlation heatmap, boxplots, and risk group analysis; (3) Hypothesis Tests — Pearson correlations, chi-square test, and ANOVA results; (4) Model Results — model comparison charts, confusion matrices, ROC curves, and classification reports with a model selector; (5) Patient Predictor — a real-time individual patient risk predictor using sliders for each clinical feature, returning the predicted ECG outcome and abnormality probability from the trained Random Forest model.</w:t>
      </w:r>
    </w:p>
    <w:p w14:paraId="00100076" w14:textId="00100077">
      <w:pPr>
        <w:spacing w:after="160"/>
      </w:pPr>
      <w:r>
        <w:rPr>
          <w:b/>
          <w:sz w:val="22"/>
        </w:rPr>
        <w:t xml:space="preserve">To run the dashboard: streamlit run app.py</w:t>
      </w:r>
    </w:p>
    <w:p w14:paraId="00100078" w14:textId="00100079">
      <w:pPr>
        <w:pStyle w:val="Heading1"/>
        <w:spacing w:after="120"/>
      </w:pPr>
      <w:r>
        <w:rPr>
          <w:b/>
          <w:sz w:val="32"/>
        </w:rPr>
        <w:t xml:space="preserve">10. Key Findings and Clinical Implications</w:t>
      </w:r>
    </w:p>
    <w:p w14:paraId="0010007A" w14:textId="0010007B">
      <w:pPr>
        <w:spacing w:after="60"/>
      </w:pPr>
      <w:r>
        <w:rPr>
          <w:sz w:val="22"/>
        </w:rPr>
        <w:t xml:space="preserve">1. Age is the dominant risk factor: patients over 60 have significantly higher abnormal ECG rates across all ECG categories.</w:t>
      </w:r>
    </w:p>
    <w:p w14:paraId="0010007C" w14:textId="0010007D">
      <w:pPr>
        <w:spacing w:after="60"/>
      </w:pPr>
      <w:r>
        <w:rPr>
          <w:sz w:val="22"/>
        </w:rPr>
        <w:t xml:space="preserve">2. BMI and systolic BP are strongly correlated (r ≈ 0.72): obesity is a compounding cardiovascular risk factor.</w:t>
      </w:r>
    </w:p>
    <w:p w14:paraId="0010007E" w14:textId="0010007F">
      <w:pPr>
        <w:spacing w:after="60"/>
      </w:pPr>
      <w:r>
        <w:rPr>
          <w:sz w:val="22"/>
        </w:rPr>
        <w:t xml:space="preserve">3. Atrial fibrillation is disproportionately represented in the high-risk elderly group with elevated cholesterol.</w:t>
      </w:r>
    </w:p>
    <w:p w14:paraId="00100080" w14:textId="00100081">
      <w:pPr>
        <w:spacing w:after="60"/>
      </w:pPr>
      <w:r>
        <w:rPr>
          <w:sz w:val="22"/>
        </w:rPr>
        <w:t xml:space="preserve">4. Random Forest (accuracy ~0.75, AUC ~0.82) is the recommended model for deployment given its superior performance and robustness.</w:t>
      </w:r>
    </w:p>
    <w:p w14:paraId="00100082" w14:textId="00100083">
      <w:pPr>
        <w:spacing w:after="160"/>
      </w:pPr>
      <w:r>
        <w:rPr>
          <w:sz w:val="22"/>
        </w:rPr>
        <w:t xml:space="preserve">5. Cholesterol-to-age ratio is more informative than raw cholesterol, underscoring the value of domain-driven feature engineering.</w:t>
      </w:r>
    </w:p>
    <w:p w14:paraId="00100084" w14:textId="00100085">
      <w:pPr>
        <w:pStyle w:val="Heading1"/>
        <w:spacing w:after="120"/>
      </w:pPr>
      <w:r>
        <w:rPr>
          <w:b/>
          <w:sz w:val="32"/>
        </w:rPr>
        <w:t xml:space="preserve">11. Technologies Used</w:t>
      </w:r>
    </w:p>
    <w:p w14:paraId="00100086" w14:textId="00100087">
      <w:pPr>
        <w:spacing w:after="60"/>
      </w:pPr>
      <w:r>
        <w:rPr>
          <w:sz w:val="22"/>
        </w:rPr>
        <w:t xml:space="preserve">• Python 3.10+ with pandas, numpy, matplotlib, seaborn, scipy, scikit-learn</w:t>
      </w:r>
    </w:p>
    <w:p w14:paraId="00100088" w14:textId="00100089">
      <w:pPr>
        <w:spacing w:after="60"/>
      </w:pPr>
      <w:r>
        <w:rPr>
          <w:sz w:val="22"/>
        </w:rPr>
        <w:t xml:space="preserve">• Jupyter Notebook (.ipynb) for the analytical code and narrative</w:t>
      </w:r>
    </w:p>
    <w:p w14:paraId="0010008A" w14:textId="0010008B">
      <w:pPr>
        <w:spacing w:after="60"/>
      </w:pPr>
      <w:r>
        <w:rPr>
          <w:sz w:val="22"/>
        </w:rPr>
        <w:t xml:space="preserve">• Streamlit for the interactive web dashboard</w:t>
      </w:r>
    </w:p>
    <w:p w14:paraId="0010008C" w14:textId="0010008D">
      <w:pPr>
        <w:spacing w:after="60"/>
      </w:pPr>
      <w:r>
        <w:rPr>
          <w:sz w:val="22"/>
        </w:rPr>
        <w:t xml:space="preserve">• Microsoft Word (.docx) for project documentation</w:t>
      </w:r>
    </w:p>
    <w:p w14:paraId="0010008E" w14:textId="0010008F">
      <w:pPr>
        <w:spacing w:after="160"/>
      </w:pPr>
      <w:r>
        <w:rPr>
          <w:sz w:val="22"/>
        </w:rPr>
        <w:t xml:space="preserve">• Markdown for the README</w:t>
      </w:r>
    </w:p>
    <w:p w14:paraId="00100090" w14:textId="00100091">
      <w:pPr>
        <w:pStyle w:val="Heading1"/>
        <w:spacing w:after="120"/>
      </w:pPr>
      <w:r>
        <w:rPr>
          <w:b/>
          <w:sz w:val="32"/>
        </w:rPr>
        <w:t xml:space="preserve">12. References</w:t>
      </w:r>
    </w:p>
    <w:p w14:paraId="00100092" w14:textId="00100093">
      <w:pPr>
        <w:spacing w:after="60"/>
      </w:pPr>
      <w:r>
        <w:rPr>
          <w:sz w:val="22"/>
        </w:rPr>
        <w:t xml:space="preserve">• Pedregosa, F. et al. (2011). Scikit-learn: Machine learning in Python. JMLR, 12, 2825–2830.</w:t>
      </w:r>
    </w:p>
    <w:p w14:paraId="00100094" w14:textId="00100095">
      <w:pPr>
        <w:spacing w:after="60"/>
      </w:pPr>
      <w:r>
        <w:rPr>
          <w:sz w:val="22"/>
        </w:rPr>
        <w:t xml:space="preserve">• McKinney, W. (2010). Data structures for statistical computing in Python. Proceedings of the 9th Python in Science Conference.</w:t>
      </w:r>
    </w:p>
    <w:p w14:paraId="00100096" w14:textId="00100097">
      <w:pPr>
        <w:spacing w:after="60"/>
      </w:pPr>
      <w:r>
        <w:rPr>
          <w:sz w:val="22"/>
        </w:rPr>
        <w:t xml:space="preserve">• Streamlit documentation: https://docs.streamlit.io</w:t>
      </w:r>
    </w:p>
    <w:p w14:paraId="00100098" w14:textId="00100099">
      <w:pPr>
        <w:spacing w:after="60"/>
      </w:pPr>
      <w:r>
        <w:rPr>
          <w:sz w:val="22"/>
        </w:rPr>
        <w:t xml:space="preserve">• World Health Organization (2000). The Asia-Pacific perspective: Redefining obesity and its treatment. BMI classification guidelines.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4e3938679a14da6" /><Relationship Type="http://schemas.openxmlformats.org/officeDocument/2006/relationships/styles" Target="/word/styles.xml" Id="Rcad1257508f4479c" /><Relationship Type="http://schemas.openxmlformats.org/officeDocument/2006/relationships/theme" Target="/word/theme/theme1.xml" Id="R915fb7e8b9f24773" /><Relationship Type="http://schemas.openxmlformats.org/officeDocument/2006/relationships/numbering" Target="/word/numbering.xml" Id="R5c6ddb0b0d444a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2026-09-24T14:42:30Z</dcterms:created>
  <cp:lastModifiedBy>OfficeCLI</cp:lastModifiedBy>
  <dcterms:modified xsi:type="dcterms:W3CDTF">2026-09-24T14:42:30Z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2026-09-24T14:43:57Z</vt:lpwstr>
  </op:property>
</op:Properties>
</file>