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48a7eb01097dfb459fb29210be1a4726be665b9"/>
    <w:p>
      <w:pPr>
        <w:pStyle w:val="Heading1"/>
      </w:pPr>
      <w:r>
        <w:rPr>
          <w:b/>
          <w:bCs/>
        </w:rPr>
        <w:t xml:space="preserve">Capture-First Economic Thesis (Delta Infinite)</w:t>
      </w:r>
    </w:p>
    <w:bookmarkStart w:id="20" w:name="Xc56fe59e768ffbfd9ebe94834d778f6296012c6"/>
    <w:p>
      <w:pPr>
        <w:pStyle w:val="Heading3"/>
      </w:pPr>
      <w:r>
        <w:t xml:space="preserve">Internal memo (2-page equivalent) — for investor messaging + strategy alignment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rPr>
          <w:b/>
          <w:bCs/>
        </w:rPr>
        <w:t xml:space="preserve">Executive Summary</w:t>
      </w:r>
    </w:p>
    <w:p>
      <w:pPr>
        <w:pStyle w:val="FirstParagraph"/>
      </w:pPr>
      <w:r>
        <w:t xml:space="preserve">Delta Infinite’s economic thesis is that</w:t>
      </w:r>
      <w:r>
        <w:t xml:space="preserve"> </w:t>
      </w:r>
      <w:r>
        <w:rPr>
          <w:b/>
          <w:bCs/>
        </w:rPr>
        <w:t xml:space="preserve">mass control + relocation</w:t>
      </w:r>
      <w:r>
        <w:t xml:space="preserve"> </w:t>
      </w:r>
      <w:r>
        <w:t xml:space="preserve">is an under-modeled value creation step in the space-resources economy. Traditional asteroid resource architectures optimize for</w:t>
      </w:r>
      <w:r>
        <w:t xml:space="preserve"> </w:t>
      </w:r>
      <w:r>
        <w:rPr>
          <w:b/>
          <w:bCs/>
        </w:rPr>
        <w:t xml:space="preserve">on-site extraction</w:t>
      </w:r>
      <w:r>
        <w:t xml:space="preserve"> </w:t>
      </w:r>
      <w:r>
        <w:t xml:space="preserve">and the return of specific, value-dense outputs. Capture-first reframes the value chain: the primary product is</w:t>
      </w:r>
      <w:r>
        <w:t xml:space="preserve"> </w:t>
      </w:r>
      <w:r>
        <w:rPr>
          <w:b/>
          <w:bCs/>
        </w:rPr>
        <w:t xml:space="preserve">controlled mass delivered to a useful orbital hub</w:t>
      </w:r>
      <w:r>
        <w:t xml:space="preserve">, where processing and allocation can occur with repeatability and scale.</w:t>
      </w:r>
    </w:p>
    <w:p>
      <w:pPr>
        <w:pStyle w:val="BodyText"/>
      </w:pPr>
      <w:r>
        <w:t xml:space="preserve">This shifts Delta Infinite from a</w:t>
      </w:r>
      <w:r>
        <w:t xml:space="preserve"> </w:t>
      </w:r>
      <w:r>
        <w:t xml:space="preserve">“mining company”</w:t>
      </w:r>
      <w:r>
        <w:t xml:space="preserve"> </w:t>
      </w:r>
      <w:r>
        <w:t xml:space="preserve">posture to</w:t>
      </w:r>
      <w:r>
        <w:t xml:space="preserve"> </w:t>
      </w:r>
      <w:r>
        <w:rPr>
          <w:b/>
          <w:bCs/>
        </w:rPr>
        <w:t xml:space="preserve">infrastructure</w:t>
      </w:r>
      <w:r>
        <w:t xml:space="preserve">: a shared, target-agnostic capability that reduces uncertainty and unlocks downstream projects. The feasibility of capture-first depends on a small set of breakpoints—primarily</w:t>
      </w:r>
      <w:r>
        <w:t xml:space="preserve"> </w:t>
      </w:r>
      <w:r>
        <w:rPr>
          <w:b/>
          <w:bCs/>
        </w:rPr>
        <w:t xml:space="preserve">transport/capture cost per kg vs. expected average value per kg of bulk material at the hub</w:t>
      </w:r>
      <w:r>
        <w:t xml:space="preserve">, plus</w:t>
      </w:r>
      <w:r>
        <w:t xml:space="preserve"> </w:t>
      </w:r>
      <w:r>
        <w:rPr>
          <w:b/>
          <w:bCs/>
        </w:rPr>
        <w:t xml:space="preserve">reuse-driven amortization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what-we-sell-value-as-a-transformation"/>
    <w:p>
      <w:pPr>
        <w:pStyle w:val="Heading2"/>
      </w:pPr>
      <w:r>
        <w:rPr>
          <w:b/>
          <w:bCs/>
        </w:rPr>
        <w:t xml:space="preserve">1) What We Sell: Value as a Transformation</w:t>
      </w:r>
    </w:p>
    <w:p>
      <w:pPr>
        <w:pStyle w:val="FirstParagraph"/>
      </w:pPr>
      <w:r>
        <w:t xml:space="preserve">A controlled object in a useful location is economically different from an uncontrolled object in a natural orbit.</w:t>
      </w:r>
    </w:p>
    <w:p>
      <w:pPr>
        <w:pStyle w:val="BodyText"/>
      </w:pPr>
      <w:r>
        <w:rPr>
          <w:b/>
          <w:bCs/>
        </w:rPr>
        <w:t xml:space="preserve">Core identity: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Value Added = V(controlled @ hub) − V(uncontrolled @ natural orbit)</w:t>
      </w:r>
    </w:p>
    <w:p>
      <w:pPr>
        <w:pStyle w:val="FirstParagraph"/>
      </w:pPr>
      <w:r>
        <w:t xml:space="preserve">In practice (especially early markets), the uncontrolled object’s economic value is limited by inaccessibility and mission risk. Delta Infinite’s platform creates value by: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Capturing</w:t>
      </w:r>
      <w:r>
        <w:t xml:space="preserve"> </w:t>
      </w:r>
      <w:r>
        <w:t xml:space="preserve">uncooperative targets (debris, defunct satellites, asteroids)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Stabilizing</w:t>
      </w:r>
      <w:r>
        <w:t xml:space="preserve"> </w:t>
      </w:r>
      <w:r>
        <w:t xml:space="preserve">them into predictable states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Relocating</w:t>
      </w:r>
      <w:r>
        <w:t xml:space="preserve"> </w:t>
      </w:r>
      <w:r>
        <w:t xml:space="preserve">them to where utilization is feasible (e.g., L1/L2, cislunar hubs)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Capture is valuable;</w:t>
      </w:r>
      <w:r>
        <w:t xml:space="preserve"> </w:t>
      </w:r>
      <w:r>
        <w:rPr>
          <w:b/>
          <w:bCs/>
        </w:rPr>
        <w:t xml:space="preserve">capture + movement is doubly valuable</w:t>
      </w:r>
      <w:r>
        <w:t xml:space="preserve"> </w:t>
      </w:r>
      <w:r>
        <w:t xml:space="preserve">because it reduces ΔV and operational complexity for every downstream user.</w:t>
      </w:r>
    </w:p>
    <w:p>
      <w:r>
        <w:pict>
          <v:rect style="width:0;height:1.5pt" o:hralign="center" o:hrstd="t" o:hr="t"/>
        </w:pict>
      </w:r>
    </w:p>
    <w:bookmarkEnd w:id="22"/>
    <w:bookmarkStart w:id="25" w:name="Xc4f287cb5ef58d6609e266f8c9769b0233eb6e1"/>
    <w:p>
      <w:pPr>
        <w:pStyle w:val="Heading2"/>
      </w:pPr>
      <w:r>
        <w:rPr>
          <w:b/>
          <w:bCs/>
        </w:rPr>
        <w:t xml:space="preserve">2) How Capture-First Reframes the Value Chain</w:t>
      </w:r>
    </w:p>
    <w:bookmarkStart w:id="23" w:name="X973f51def38cbc7adbd8abc19926978c3dc8428"/>
    <w:p>
      <w:pPr>
        <w:pStyle w:val="Heading3"/>
      </w:pPr>
      <w:r>
        <w:t xml:space="preserve">Conventional asteroid</w:t>
      </w:r>
      <w:r>
        <w:t xml:space="preserve"> </w:t>
      </w:r>
      <w:r>
        <w:t xml:space="preserve">“fly-by extraction”</w:t>
      </w:r>
      <w:r>
        <w:t xml:space="preserve"> </w:t>
      </w:r>
      <w:r>
        <w:t xml:space="preserve">chain</w:t>
      </w:r>
    </w:p>
    <w:p>
      <w:pPr>
        <w:pStyle w:val="FirstParagraph"/>
      </w:pPr>
      <w:r>
        <w:t xml:space="preserve">Prospect → Explore → Feasibility → Trip to asteroid → Mine → Trip home → Process → Manufacture → Distribute</w:t>
      </w:r>
    </w:p>
    <w:bookmarkEnd w:id="23"/>
    <w:bookmarkStart w:id="24" w:name="capture-first-chain"/>
    <w:p>
      <w:pPr>
        <w:pStyle w:val="Heading3"/>
      </w:pPr>
      <w:r>
        <w:t xml:space="preserve">Capture-first chain</w:t>
      </w:r>
    </w:p>
    <w:p>
      <w:pPr>
        <w:pStyle w:val="FirstParagraph"/>
      </w:pPr>
      <w:r>
        <w:t xml:space="preserve">Capture → Relocate to hub (L1/L2) → Long-term access → In-situ processing/manufacture → Distribution</w:t>
      </w:r>
    </w:p>
    <w:p>
      <w:pPr>
        <w:pStyle w:val="BodyText"/>
      </w:pPr>
      <w:r>
        <w:rPr>
          <w:b/>
          <w:bCs/>
        </w:rPr>
        <w:t xml:space="preserve">Economic consequence:</w:t>
      </w:r>
      <w:r>
        <w:t xml:space="preserve"> </w:t>
      </w:r>
      <w:r>
        <w:t xml:space="preserve">Capture-first changes</w:t>
      </w:r>
      <w:r>
        <w:t xml:space="preserve"> </w:t>
      </w:r>
      <w:r>
        <w:rPr>
          <w:i/>
          <w:iCs/>
        </w:rPr>
        <w:t xml:space="preserve">where value, risk, and uncertainty live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De-emphasizes early prospecting</w:t>
      </w:r>
      <w:r>
        <w:t xml:space="preserve"> </w:t>
      </w:r>
      <w:r>
        <w:t xml:space="preserve">(composition uncertainty can be treated probabilistically)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Shifts complexity away from mining at a moving target</w:t>
      </w:r>
      <w:r>
        <w:t xml:space="preserve"> </w:t>
      </w:r>
      <w:r>
        <w:t xml:space="preserve">toward repeatable hub operations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Creates an infrastructure layer</w:t>
      </w:r>
      <w:r>
        <w:t xml:space="preserve"> </w:t>
      </w:r>
      <w:r>
        <w:t xml:space="preserve">that can serve multiple missions and customers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218048e9af5b827dc98544e8bacb953e4126a45"/>
    <w:p>
      <w:pPr>
        <w:pStyle w:val="Heading2"/>
      </w:pPr>
      <w:r>
        <w:rPr>
          <w:b/>
          <w:bCs/>
        </w:rPr>
        <w:t xml:space="preserve">3) The Central Trade: Dead Weight vs. Centralized Scale</w:t>
      </w:r>
    </w:p>
    <w:p>
      <w:pPr>
        <w:pStyle w:val="FirstParagraph"/>
      </w:pPr>
      <w:r>
        <w:t xml:space="preserve">Capture-first relocation brings</w:t>
      </w:r>
      <w:r>
        <w:t xml:space="preserve"> </w:t>
      </w:r>
      <w:r>
        <w:rPr>
          <w:b/>
          <w:bCs/>
        </w:rPr>
        <w:t xml:space="preserve">all mass</w:t>
      </w:r>
      <w:r>
        <w:t xml:space="preserve">, not just the most valuable fraction.</w:t>
      </w:r>
    </w:p>
    <w:p>
      <w:pPr>
        <w:pStyle w:val="BodyText"/>
      </w:pPr>
      <w:r>
        <w:t xml:space="preserve">This creates an unavoidable trade:</w:t>
      </w:r>
    </w:p>
    <w:p>
      <w:pPr>
        <w:pStyle w:val="Compact"/>
        <w:numPr>
          <w:ilvl w:val="0"/>
          <w:numId w:val="1004"/>
        </w:numPr>
      </w:pPr>
      <w:r>
        <w:t xml:space="preserve">Moving the whole object increases total deliverable kg</w:t>
      </w:r>
    </w:p>
    <w:p>
      <w:pPr>
        <w:pStyle w:val="Compact"/>
        <w:numPr>
          <w:ilvl w:val="0"/>
          <w:numId w:val="1004"/>
        </w:numPr>
      </w:pPr>
      <w:r>
        <w:t xml:space="preserve">But reduces the</w:t>
      </w:r>
      <w:r>
        <w:t xml:space="preserve"> </w:t>
      </w:r>
      <w:r>
        <w:rPr>
          <w:b/>
          <w:bCs/>
        </w:rPr>
        <w:t xml:space="preserve">average value per kg</w:t>
      </w:r>
      <w:r>
        <w:t xml:space="preserve"> </w:t>
      </w:r>
      <w:r>
        <w:t xml:space="preserve">because low-value materials dilute high-value ones</w:t>
      </w:r>
    </w:p>
    <w:p>
      <w:pPr>
        <w:pStyle w:val="FirstParagraph"/>
      </w:pPr>
      <w:r>
        <w:rPr>
          <w:b/>
          <w:bCs/>
        </w:rPr>
        <w:t xml:space="preserve">Rule of thumb breakpoint (Regime I):</w:t>
      </w:r>
      <w:r>
        <w:t xml:space="preserve"> </w:t>
      </w:r>
      <w:r>
        <w:t xml:space="preserve">Capture-first is viable when: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(Expected average value/kg at hub) ≥ (capture + relocation cost/kg)</w:t>
      </w:r>
      <w:r>
        <w:t xml:space="preserve"> </w:t>
      </w:r>
      <w:r>
        <w:t xml:space="preserve">…after accounting for amortization, time to revenue, and market demand.</w:t>
      </w:r>
    </w:p>
    <w:p>
      <w:pPr>
        <w:pStyle w:val="FirstParagraph"/>
      </w:pPr>
      <w:r>
        <w:t xml:space="preserve">This makes the problem</w:t>
      </w:r>
      <w:r>
        <w:t xml:space="preserve"> </w:t>
      </w:r>
      <w:r>
        <w:rPr>
          <w:b/>
          <w:bCs/>
        </w:rPr>
        <w:t xml:space="preserve">testable</w:t>
      </w:r>
      <w:r>
        <w:t xml:space="preserve"> </w:t>
      </w:r>
      <w:r>
        <w:t xml:space="preserve">with expected-value modeling.</w:t>
      </w:r>
    </w:p>
    <w:p>
      <w:r>
        <w:pict>
          <v:rect style="width:0;height:1.5pt" o:hralign="center" o:hrstd="t" o:hr="t"/>
        </w:pict>
      </w:r>
    </w:p>
    <w:bookmarkEnd w:id="26"/>
    <w:bookmarkStart w:id="29" w:name="X615964cd64390840866d03c1d754975dd11a548"/>
    <w:p>
      <w:pPr>
        <w:pStyle w:val="Heading2"/>
      </w:pPr>
      <w:r>
        <w:rPr>
          <w:b/>
          <w:bCs/>
        </w:rPr>
        <w:t xml:space="preserve">4) Regime I vs. Regime II: Why Timing Matters</w:t>
      </w:r>
    </w:p>
    <w:p>
      <w:pPr>
        <w:pStyle w:val="FirstParagraph"/>
      </w:pPr>
      <w:r>
        <w:t xml:space="preserve">Capture-first economics operate in two market regimes.</w:t>
      </w:r>
    </w:p>
    <w:bookmarkStart w:id="27" w:name="Xdd7d010b39a1eb6a13daccf4b11c9803a0345d0"/>
    <w:p>
      <w:pPr>
        <w:pStyle w:val="Heading3"/>
      </w:pPr>
      <w:r>
        <w:rPr>
          <w:b/>
          <w:bCs/>
        </w:rPr>
        <w:t xml:space="preserve">Regime I (early market): selective viability</w:t>
      </w:r>
    </w:p>
    <w:p>
      <w:pPr>
        <w:pStyle w:val="Compact"/>
        <w:numPr>
          <w:ilvl w:val="0"/>
          <w:numId w:val="1006"/>
        </w:numPr>
      </w:pPr>
      <w:r>
        <w:t xml:space="preserve">Bulk in-space demand is limited and segmented</w:t>
      </w:r>
    </w:p>
    <w:p>
      <w:pPr>
        <w:pStyle w:val="Compact"/>
        <w:numPr>
          <w:ilvl w:val="0"/>
          <w:numId w:val="1006"/>
        </w:numPr>
      </w:pPr>
      <w:r>
        <w:t xml:space="preserve">Only some targets are profitable</w:t>
      </w:r>
    </w:p>
    <w:p>
      <w:pPr>
        <w:pStyle w:val="Compact"/>
        <w:numPr>
          <w:ilvl w:val="0"/>
          <w:numId w:val="1006"/>
        </w:numPr>
      </w:pPr>
      <w:r>
        <w:t xml:space="preserve">Composition uncertainty matters</w:t>
      </w:r>
    </w:p>
    <w:p>
      <w:pPr>
        <w:pStyle w:val="Compact"/>
        <w:numPr>
          <w:ilvl w:val="0"/>
          <w:numId w:val="1006"/>
        </w:numPr>
      </w:pPr>
      <w:r>
        <w:t xml:space="preserve">Prospecting may be justified as an uncertainty reduction investment</w:t>
      </w:r>
    </w:p>
    <w:p>
      <w:pPr>
        <w:pStyle w:val="Compact"/>
        <w:numPr>
          <w:ilvl w:val="0"/>
          <w:numId w:val="1006"/>
        </w:numPr>
      </w:pPr>
      <w:r>
        <w:t xml:space="preserve">Reuse and amortization are critical</w:t>
      </w:r>
    </w:p>
    <w:p>
      <w:pPr>
        <w:pStyle w:val="FirstParagraph"/>
      </w:pPr>
      <w:r>
        <w:rPr>
          <w:b/>
          <w:bCs/>
        </w:rPr>
        <w:t xml:space="preserve">Regime I decision logic:</w:t>
      </w:r>
    </w:p>
    <w:p>
      <w:pPr>
        <w:pStyle w:val="Compact"/>
        <w:numPr>
          <w:ilvl w:val="0"/>
          <w:numId w:val="1007"/>
        </w:numPr>
      </w:pPr>
      <w:r>
        <w:t xml:space="preserve">Model asteroid types and compositions statistically</w:t>
      </w:r>
    </w:p>
    <w:p>
      <w:pPr>
        <w:pStyle w:val="Compact"/>
        <w:numPr>
          <w:ilvl w:val="0"/>
          <w:numId w:val="1007"/>
        </w:numPr>
      </w:pPr>
      <w:r>
        <w:t xml:space="preserve">Compute expected value of a</w:t>
      </w:r>
      <w:r>
        <w:t xml:space="preserve"> </w:t>
      </w:r>
      <w:r>
        <w:t xml:space="preserve">“random capture”</w:t>
      </w:r>
    </w:p>
    <w:p>
      <w:pPr>
        <w:pStyle w:val="Compact"/>
        <w:numPr>
          <w:ilvl w:val="0"/>
          <w:numId w:val="1007"/>
        </w:numPr>
      </w:pPr>
      <w:r>
        <w:t xml:space="preserve">Prospecting is justified when it increases expected value more than it costs</w:t>
      </w:r>
    </w:p>
    <w:bookmarkEnd w:id="27"/>
    <w:bookmarkStart w:id="28" w:name="regime-ii-mature-market-broad-viability"/>
    <w:p>
      <w:pPr>
        <w:pStyle w:val="Heading3"/>
      </w:pPr>
      <w:r>
        <w:rPr>
          <w:b/>
          <w:bCs/>
        </w:rPr>
        <w:t xml:space="preserve">Regime II (mature market): broad viability</w:t>
      </w:r>
    </w:p>
    <w:p>
      <w:pPr>
        <w:pStyle w:val="Compact"/>
        <w:numPr>
          <w:ilvl w:val="0"/>
          <w:numId w:val="1008"/>
        </w:numPr>
      </w:pPr>
      <w:r>
        <w:t xml:space="preserve">Bulk in-space demand deepens</w:t>
      </w:r>
    </w:p>
    <w:p>
      <w:pPr>
        <w:pStyle w:val="Compact"/>
        <w:numPr>
          <w:ilvl w:val="0"/>
          <w:numId w:val="1008"/>
        </w:numPr>
      </w:pPr>
      <w:r>
        <w:t xml:space="preserve">Value/kg of mixed materials becomes reliably above transport cost/kg</w:t>
      </w:r>
    </w:p>
    <w:p>
      <w:pPr>
        <w:pStyle w:val="Compact"/>
        <w:numPr>
          <w:ilvl w:val="0"/>
          <w:numId w:val="1008"/>
        </w:numPr>
      </w:pPr>
      <w:r>
        <w:t xml:space="preserve">Prospecting becomes optional</w:t>
      </w:r>
    </w:p>
    <w:p>
      <w:pPr>
        <w:pStyle w:val="Compact"/>
        <w:numPr>
          <w:ilvl w:val="0"/>
          <w:numId w:val="1008"/>
        </w:numPr>
      </w:pPr>
      <w:r>
        <w:t xml:space="preserve">Capture-first scales as a generalized logistics platform</w:t>
      </w:r>
    </w:p>
    <w:p>
      <w:pPr>
        <w:pStyle w:val="FirstParagraph"/>
      </w:pPr>
      <w:r>
        <w:rPr>
          <w:b/>
          <w:bCs/>
        </w:rPr>
        <w:t xml:space="preserve">Regime transition indicator:</w:t>
      </w:r>
      <w:r>
        <w:t xml:space="preserve"> </w:t>
      </w:r>
      <w:r>
        <w:t xml:space="preserve">when bulk value is consistently above cost and the market absorbs mixed supply without severe price compression.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b9d54f20f21e9b6f87309e7513b6670916c9f5f"/>
    <w:p>
      <w:pPr>
        <w:pStyle w:val="Heading2"/>
      </w:pPr>
      <w:r>
        <w:rPr>
          <w:b/>
          <w:bCs/>
        </w:rPr>
        <w:t xml:space="preserve">5) Delta Infinite’s Moat: Uncertainty Reduction + Reuse</w:t>
      </w:r>
    </w:p>
    <w:p>
      <w:pPr>
        <w:pStyle w:val="FirstParagraph"/>
      </w:pPr>
      <w:r>
        <w:t xml:space="preserve">Delta Infinite is infrastructure because it reduces uncertainty at scale.</w:t>
      </w:r>
    </w:p>
    <w:p>
      <w:pPr>
        <w:pStyle w:val="BodyText"/>
      </w:pPr>
      <w:r>
        <w:rPr>
          <w:b/>
          <w:bCs/>
        </w:rPr>
        <w:t xml:space="preserve">Industry uncertainty reduced (once proven):</w:t>
      </w:r>
    </w:p>
    <w:p>
      <w:pPr>
        <w:pStyle w:val="Compact"/>
        <w:numPr>
          <w:ilvl w:val="0"/>
          <w:numId w:val="1009"/>
        </w:numPr>
      </w:pPr>
      <w:r>
        <w:t xml:space="preserve">No need to custom design capture systems per target</w:t>
      </w:r>
    </w:p>
    <w:p>
      <w:pPr>
        <w:pStyle w:val="Compact"/>
        <w:numPr>
          <w:ilvl w:val="0"/>
          <w:numId w:val="1009"/>
        </w:numPr>
      </w:pPr>
      <w:r>
        <w:t xml:space="preserve">Repeatable operations and cost predictability</w:t>
      </w:r>
    </w:p>
    <w:p>
      <w:pPr>
        <w:pStyle w:val="Compact"/>
        <w:numPr>
          <w:ilvl w:val="0"/>
          <w:numId w:val="1009"/>
        </w:numPr>
      </w:pPr>
      <w:r>
        <w:t xml:space="preserve">Platform manufacturing (build 100 modules; capture 100 targets)</w:t>
      </w:r>
    </w:p>
    <w:p>
      <w:pPr>
        <w:pStyle w:val="FirstParagraph"/>
      </w:pPr>
      <w:r>
        <w:rPr>
          <w:b/>
          <w:bCs/>
        </w:rPr>
        <w:t xml:space="preserve">Company uncertainty reduced:</w:t>
      </w:r>
    </w:p>
    <w:p>
      <w:pPr>
        <w:pStyle w:val="Compact"/>
        <w:numPr>
          <w:ilvl w:val="0"/>
          <w:numId w:val="1010"/>
        </w:numPr>
      </w:pPr>
      <w:r>
        <w:t xml:space="preserve">Debris removal provides early, repeatable use-cases</w:t>
      </w:r>
    </w:p>
    <w:p>
      <w:pPr>
        <w:pStyle w:val="Compact"/>
        <w:numPr>
          <w:ilvl w:val="0"/>
          <w:numId w:val="1010"/>
        </w:numPr>
      </w:pPr>
      <w:r>
        <w:t xml:space="preserve">Heritage builds credibility and financing efficiency</w:t>
      </w:r>
    </w:p>
    <w:p>
      <w:pPr>
        <w:pStyle w:val="Compact"/>
        <w:numPr>
          <w:ilvl w:val="0"/>
          <w:numId w:val="1010"/>
        </w:numPr>
      </w:pPr>
      <w:r>
        <w:t xml:space="preserve">Reuse cycles drive cost-down via amortization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debris remediation is not a fallback—it is the</w:t>
      </w:r>
      <w:r>
        <w:t xml:space="preserve"> </w:t>
      </w:r>
      <w:r>
        <w:rPr>
          <w:b/>
          <w:bCs/>
        </w:rPr>
        <w:t xml:space="preserve">de-risk engine</w:t>
      </w:r>
      <w:r>
        <w:t xml:space="preserve"> </w:t>
      </w:r>
      <w:r>
        <w:t xml:space="preserve">that accelerates capture-first credibility and scale.</w:t>
      </w:r>
    </w:p>
    <w:p>
      <w:r>
        <w:pict>
          <v:rect style="width:0;height:1.5pt" o:hralign="center" o:hrstd="t" o:hr="t"/>
        </w:pict>
      </w:r>
    </w:p>
    <w:bookmarkEnd w:id="30"/>
    <w:bookmarkStart w:id="31" w:name="investor-ready-implications"/>
    <w:p>
      <w:pPr>
        <w:pStyle w:val="Heading2"/>
      </w:pPr>
      <w:r>
        <w:rPr>
          <w:b/>
          <w:bCs/>
        </w:rPr>
        <w:t xml:space="preserve">6) Investor-Ready Implications</w:t>
      </w:r>
    </w:p>
    <w:p>
      <w:pPr>
        <w:pStyle w:val="FirstParagraph"/>
      </w:pPr>
      <w:r>
        <w:t xml:space="preserve">Delta Infinite’s capture-first thesis yields an investor-legible story:</w:t>
      </w:r>
    </w:p>
    <w:p>
      <w:pPr>
        <w:pStyle w:val="Compact"/>
        <w:numPr>
          <w:ilvl w:val="0"/>
          <w:numId w:val="1011"/>
        </w:numPr>
      </w:pPr>
      <w:r>
        <w:t xml:space="preserve">We are not betting on one asteroid’s composition; we are building</w:t>
      </w:r>
      <w:r>
        <w:t xml:space="preserve"> </w:t>
      </w:r>
      <w:r>
        <w:rPr>
          <w:b/>
          <w:bCs/>
        </w:rPr>
        <w:t xml:space="preserve">logistics infrastructure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Our economic levers are modelable and testable: cost/kg, reuse rate, expected value/kg, time to revenue.</w:t>
      </w:r>
    </w:p>
    <w:p>
      <w:pPr>
        <w:pStyle w:val="Compact"/>
        <w:numPr>
          <w:ilvl w:val="0"/>
          <w:numId w:val="1011"/>
        </w:numPr>
      </w:pPr>
      <w:r>
        <w:t xml:space="preserve">We create value by reducing ΔV and operational complexity for downstream projects.</w:t>
      </w:r>
    </w:p>
    <w:p>
      <w:pPr>
        <w:pStyle w:val="Compact"/>
        <w:numPr>
          <w:ilvl w:val="0"/>
          <w:numId w:val="1011"/>
        </w:numPr>
      </w:pPr>
      <w:r>
        <w:t xml:space="preserve">We reduce industry uncertainty by eliminating target-specific capture redesign.</w:t>
      </w:r>
    </w:p>
    <w:p>
      <w:pPr>
        <w:pStyle w:val="FirstParagraph"/>
      </w:pPr>
      <w:r>
        <w:rPr>
          <w:b/>
          <w:bCs/>
        </w:rPr>
        <w:t xml:space="preserve">Do not present raw NPV outputs as truth.</w:t>
      </w:r>
      <w:r>
        <w:t xml:space="preserve"> </w:t>
      </w:r>
      <w:r>
        <w:t xml:space="preserve">Use NPV internally as a heuristic to:</w:t>
      </w:r>
    </w:p>
    <w:p>
      <w:pPr>
        <w:pStyle w:val="Compact"/>
        <w:numPr>
          <w:ilvl w:val="0"/>
          <w:numId w:val="1012"/>
        </w:numPr>
      </w:pPr>
      <w:r>
        <w:t xml:space="preserve">identify breakpoints</w:t>
      </w:r>
    </w:p>
    <w:p>
      <w:pPr>
        <w:pStyle w:val="Compact"/>
        <w:numPr>
          <w:ilvl w:val="0"/>
          <w:numId w:val="1012"/>
        </w:numPr>
      </w:pPr>
      <w:r>
        <w:t xml:space="preserve">guide engineering priorities</w:t>
      </w:r>
    </w:p>
    <w:p>
      <w:pPr>
        <w:pStyle w:val="Compact"/>
        <w:numPr>
          <w:ilvl w:val="0"/>
          <w:numId w:val="1012"/>
        </w:numPr>
      </w:pPr>
      <w:r>
        <w:t xml:space="preserve">prioritize early markets</w:t>
      </w:r>
    </w:p>
    <w:p>
      <w:pPr>
        <w:pStyle w:val="Compact"/>
        <w:numPr>
          <w:ilvl w:val="0"/>
          <w:numId w:val="1012"/>
        </w:numPr>
      </w:pPr>
      <w:r>
        <w:t xml:space="preserve">inform investor narratives with disciplined assumptions</w:t>
      </w:r>
    </w:p>
    <w:p>
      <w:r>
        <w:pict>
          <v:rect style="width:0;height:1.5pt" o:hralign="center" o:hrstd="t" o:hr="t"/>
        </w:pict>
      </w:r>
    </w:p>
    <w:bookmarkEnd w:id="31"/>
    <w:bookmarkStart w:id="33" w:name="X6d0a64726d0455d0c3b5fbfd824958569ca7f94"/>
    <w:p>
      <w:pPr>
        <w:pStyle w:val="Heading2"/>
      </w:pPr>
      <w:r>
        <w:t xml:space="preserve">1.1 Baseline assumptions + CAPEX sweep (for our first run)</w:t>
      </w:r>
    </w:p>
    <w:p>
      <w:pPr>
        <w:pStyle w:val="FirstParagraph"/>
      </w:pPr>
      <w:r>
        <w:rPr>
          <w:b/>
          <w:bCs/>
        </w:rPr>
        <w:t xml:space="preserve">Working guesstimates: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Mass delivered (M): 1,000 kg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Reuse rate (R): 5 missions/system</w:t>
      </w:r>
      <w:r>
        <w:t xml:space="preserve"> </w:t>
      </w:r>
      <w:r>
        <w:rPr>
          <w:i/>
          <w:iCs/>
        </w:rPr>
        <w:t xml:space="preserve">(starter assumption)</w:t>
      </w:r>
    </w:p>
    <w:p>
      <w:pPr>
        <w:pStyle w:val="BodyText"/>
      </w:pPr>
      <w:r>
        <w:rPr>
          <w:b/>
          <w:bCs/>
        </w:rPr>
        <w:t xml:space="preserve">CAPEX sweep (avoid false precision):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 CAPEX:</w:t>
      </w:r>
      <w:r>
        <w:t xml:space="preserve"> </w:t>
      </w:r>
      <w:r>
        <w:t xml:space="preserve">$1,000,000 → CAPEX/(R×M) =</w:t>
      </w:r>
      <w:r>
        <w:t xml:space="preserve"> </w:t>
      </w:r>
      <w:r>
        <w:rPr>
          <w:b/>
          <w:bCs/>
        </w:rPr>
        <w:t xml:space="preserve">$200/kg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 CAPEX:</w:t>
      </w:r>
      <w:r>
        <w:t xml:space="preserve"> </w:t>
      </w:r>
      <w:r>
        <w:t xml:space="preserve">$5,000,000 → CAPEX/(R×M) =</w:t>
      </w:r>
      <w:r>
        <w:t xml:space="preserve"> </w:t>
      </w:r>
      <w:r>
        <w:rPr>
          <w:b/>
          <w:bCs/>
        </w:rPr>
        <w:t xml:space="preserve">$1,000/kg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CAPEX:</w:t>
      </w:r>
      <w:r>
        <w:t xml:space="preserve"> </w:t>
      </w:r>
      <w:r>
        <w:t xml:space="preserve">$15,000,000 → CAPEX/(R×M) =</w:t>
      </w:r>
      <w:r>
        <w:t xml:space="preserve"> </w:t>
      </w:r>
      <w:r>
        <w:rPr>
          <w:b/>
          <w:bCs/>
        </w:rPr>
        <w:t xml:space="preserve">$3,000/kg</w:t>
      </w:r>
    </w:p>
    <w:p>
      <w:pPr>
        <w:pStyle w:val="BlockText"/>
      </w:pPr>
      <w:r>
        <w:t xml:space="preserve">With</w:t>
      </w:r>
      <w:r>
        <w:t xml:space="preserve"> </w:t>
      </w:r>
      <w:r>
        <w:rPr>
          <w:b/>
          <w:bCs/>
        </w:rPr>
        <w:t xml:space="preserve">M=1,000 kg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R=5</w:t>
      </w:r>
      <w:r>
        <w:t xml:space="preserve">, the amortized CAPEX burden per delivered kg is</w:t>
      </w:r>
      <w:r>
        <w:t xml:space="preserve"> </w:t>
      </w:r>
      <w:r>
        <w:rPr>
          <w:b/>
          <w:bCs/>
        </w:rPr>
        <w:t xml:space="preserve">CAPEX/5,000</w:t>
      </w:r>
      <w:r>
        <w:t xml:space="preserve">.</w:t>
      </w:r>
    </w:p>
    <w:bookmarkStart w:id="32" w:name="X499e0817e70c587f55cdccbe99df48060ff1546"/>
    <w:p>
      <w:pPr>
        <w:pStyle w:val="Heading3"/>
      </w:pPr>
      <w:r>
        <w:t xml:space="preserve">Break-even EV/kg thresholds (given variable Cost/kg)</w:t>
      </w:r>
    </w:p>
    <w:p>
      <w:pPr>
        <w:pStyle w:val="FirstParagraph"/>
      </w:pPr>
      <w:r>
        <w:t xml:space="preserve">Using:</w:t>
      </w:r>
      <w:r>
        <w:t xml:space="preserve"> </w:t>
      </w:r>
      <w:r>
        <w:rPr>
          <w:b/>
          <w:bCs/>
        </w:rPr>
        <w:t xml:space="preserve">EV_break-even = C + CAPEX/(R×M)</w:t>
      </w:r>
    </w:p>
    <w:p>
      <w:pPr>
        <w:pStyle w:val="BodyText"/>
      </w:pPr>
      <w:r>
        <w:rPr>
          <w:b/>
          <w:bCs/>
        </w:rPr>
        <w:t xml:space="preserve">Low CAPEX ($1M): add +$200/kg</w:t>
      </w:r>
      <w:r>
        <w:t xml:space="preserve"> </w:t>
      </w:r>
      <w:r>
        <w:t xml:space="preserve">| Cost/kg (C) | 10 | 25 | 50 | 100 | 250 |</w:t>
      </w:r>
      <w:r>
        <w:t xml:space="preserve"> </w:t>
      </w:r>
      <w:r>
        <w:t xml:space="preserve">|—|—:|—:|—:|—:|—:|</w:t>
      </w:r>
      <w:r>
        <w:t xml:space="preserve"> </w:t>
      </w:r>
      <w:r>
        <w:t xml:space="preserve">| EV/kg break-even | 210 | 225 | 250 | 300 | 450 |</w:t>
      </w:r>
    </w:p>
    <w:p>
      <w:pPr>
        <w:pStyle w:val="BodyText"/>
      </w:pPr>
      <w:r>
        <w:rPr>
          <w:b/>
          <w:bCs/>
        </w:rPr>
        <w:t xml:space="preserve">Base CAPEX ($5M): add +$1,000/kg</w:t>
      </w:r>
      <w:r>
        <w:t xml:space="preserve"> </w:t>
      </w:r>
      <w:r>
        <w:t xml:space="preserve">| Cost/kg (C) | 10 | 25 | 50 | 100 | 250 |</w:t>
      </w:r>
      <w:r>
        <w:t xml:space="preserve"> </w:t>
      </w:r>
      <w:r>
        <w:t xml:space="preserve">|—|—:|—:|—:|—:|—:|</w:t>
      </w:r>
      <w:r>
        <w:t xml:space="preserve"> </w:t>
      </w:r>
      <w:r>
        <w:t xml:space="preserve">| EV/kg break-even | 1,010 | 1,025 | 1,050 | 1,100 | 1,250 |</w:t>
      </w:r>
    </w:p>
    <w:p>
      <w:pPr>
        <w:pStyle w:val="BodyText"/>
      </w:pPr>
      <w:r>
        <w:rPr>
          <w:b/>
          <w:bCs/>
        </w:rPr>
        <w:t xml:space="preserve">High CAPEX ($15M): add +$3,000/kg</w:t>
      </w:r>
      <w:r>
        <w:t xml:space="preserve"> </w:t>
      </w:r>
      <w:r>
        <w:t xml:space="preserve">| Cost/kg (C) | 10 | 25 | 50 | 100 | 250 |</w:t>
      </w:r>
      <w:r>
        <w:t xml:space="preserve"> </w:t>
      </w:r>
      <w:r>
        <w:t xml:space="preserve">|—|—:|—:|—:|—:|—:|</w:t>
      </w:r>
      <w:r>
        <w:t xml:space="preserve"> </w:t>
      </w:r>
      <w:r>
        <w:t xml:space="preserve">| EV/kg break-even | 3,010 | 3,025 | 3,050 | 3,100 | 3,250 |</w:t>
      </w:r>
    </w:p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With small delivered mass (1,000 kg) and modest reuse (R=5), CAPEX can dominate the break-even threshold. This doesn’t mean the business is impossible; it means at least one of these must improve:</w:t>
      </w:r>
      <w:r>
        <w:t xml:space="preserve"> </w:t>
      </w:r>
      <w:r>
        <w:rPr>
          <w:b/>
          <w:bCs/>
        </w:rPr>
        <w:t xml:space="preserve">higher delivered mass</w:t>
      </w:r>
      <w:r>
        <w:t xml:space="preserve">,</w:t>
      </w:r>
      <w:r>
        <w:t xml:space="preserve"> </w:t>
      </w:r>
      <w:r>
        <w:rPr>
          <w:b/>
          <w:bCs/>
        </w:rPr>
        <w:t xml:space="preserve">higher reuse</w:t>
      </w:r>
      <w:r>
        <w:t xml:space="preserve">,</w:t>
      </w:r>
      <w:r>
        <w:t xml:space="preserve"> </w:t>
      </w:r>
      <w:r>
        <w:rPr>
          <w:b/>
          <w:bCs/>
        </w:rPr>
        <w:t xml:space="preserve">lower CAPEX</w:t>
      </w:r>
      <w:r>
        <w:t xml:space="preserve">, and/or</w:t>
      </w:r>
      <w:r>
        <w:t xml:space="preserve"> </w:t>
      </w:r>
      <w:r>
        <w:rPr>
          <w:b/>
          <w:bCs/>
        </w:rPr>
        <w:t xml:space="preserve">higher realized $/kg</w:t>
      </w:r>
      <w:r>
        <w:t xml:space="preserve"> </w:t>
      </w:r>
      <w:r>
        <w:t xml:space="preserve">(e.g., risk-reduction / compliance economics vs commodity bulk).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2026-03-14T02:11:56Z</dcterms:created>
  <dcterms:modified xsi:type="dcterms:W3CDTF">2026-03-14T02:11:56Z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