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78965" w14:textId="630439C9" w:rsidR="00B276DC" w:rsidRPr="004A1148" w:rsidRDefault="00D57F8C" w:rsidP="00B311F8">
      <w:pPr>
        <w:spacing w:after="0" w:line="240" w:lineRule="auto"/>
        <w:ind w:left="-5"/>
        <w:rPr>
          <w:b/>
          <w:bCs/>
        </w:rPr>
      </w:pPr>
      <w:r w:rsidRPr="004A1148">
        <w:rPr>
          <w:b/>
          <w:bCs/>
          <w:sz w:val="36"/>
        </w:rPr>
        <w:t xml:space="preserve">Assessing spatial variability of nutrients, phytoplankton, and related water quality constituents in the California Sacramento-San Joaquin Delta during treated wastewater effluent holds: August and September 2019 high resolution mapping surveys  </w:t>
      </w:r>
    </w:p>
    <w:p w14:paraId="794E983E" w14:textId="77777777" w:rsidR="00B276DC" w:rsidRPr="004A1148" w:rsidRDefault="00D57F8C">
      <w:pPr>
        <w:spacing w:after="293" w:line="259" w:lineRule="auto"/>
        <w:ind w:left="0" w:firstLine="0"/>
        <w:rPr>
          <w:b/>
          <w:bCs/>
        </w:rPr>
      </w:pPr>
      <w:r w:rsidRPr="004A1148">
        <w:rPr>
          <w:b/>
          <w:bCs/>
        </w:rPr>
        <w:t xml:space="preserve"> </w:t>
      </w:r>
    </w:p>
    <w:p w14:paraId="57337756" w14:textId="2F864569" w:rsidR="00B276DC" w:rsidRPr="004A1148" w:rsidRDefault="00D57F8C">
      <w:pPr>
        <w:pStyle w:val="Heading1"/>
        <w:ind w:left="-5"/>
        <w:rPr>
          <w:b/>
          <w:bCs/>
        </w:rPr>
      </w:pPr>
      <w:r w:rsidRPr="004A1148">
        <w:rPr>
          <w:b/>
          <w:bCs/>
        </w:rPr>
        <w:t xml:space="preserve">Methods </w:t>
      </w:r>
    </w:p>
    <w:p w14:paraId="6C75FEF9" w14:textId="77777777" w:rsidR="00B276DC" w:rsidRPr="004A1148" w:rsidRDefault="00D57F8C">
      <w:pPr>
        <w:spacing w:after="0" w:line="259" w:lineRule="auto"/>
        <w:ind w:left="0" w:firstLine="0"/>
      </w:pPr>
      <w:r w:rsidRPr="004A1148">
        <w:t xml:space="preserve"> </w:t>
      </w:r>
    </w:p>
    <w:p w14:paraId="05C38368" w14:textId="3FC7A227" w:rsidR="00B276DC" w:rsidRPr="004A1148" w:rsidRDefault="00D57F8C">
      <w:pPr>
        <w:ind w:left="-5" w:right="53"/>
      </w:pPr>
      <w:r w:rsidRPr="004A1148">
        <w:t>The data set comprises four days of high</w:t>
      </w:r>
      <w:r w:rsidR="008F3970">
        <w:t>-</w:t>
      </w:r>
      <w:r w:rsidRPr="004A1148">
        <w:t>resolution mapping and discrete sample collection of nutrients, phytoplankton, and related water quality constituents conducted in the Sacramento River, Georgiana Slough, and the North and South Forks of the Mokelumne River on August 28</w:t>
      </w:r>
      <w:r w:rsidR="0016234E" w:rsidRPr="004A1148">
        <w:rPr>
          <w:vertAlign w:val="superscript"/>
        </w:rPr>
        <w:t>th</w:t>
      </w:r>
      <w:r w:rsidRPr="004A1148">
        <w:t xml:space="preserve"> and September 10</w:t>
      </w:r>
      <w:r w:rsidR="003221A8" w:rsidRPr="004A1148">
        <w:rPr>
          <w:vertAlign w:val="superscript"/>
        </w:rPr>
        <w:t>th</w:t>
      </w:r>
      <w:r w:rsidR="003221A8" w:rsidRPr="004A1148">
        <w:t xml:space="preserve"> through </w:t>
      </w:r>
      <w:r w:rsidRPr="004A1148">
        <w:t>12</w:t>
      </w:r>
      <w:r w:rsidR="003221A8" w:rsidRPr="004A1148">
        <w:rPr>
          <w:vertAlign w:val="superscript"/>
        </w:rPr>
        <w:t>th</w:t>
      </w:r>
      <w:r w:rsidRPr="004A1148">
        <w:t>, 2019, coincident</w:t>
      </w:r>
      <w:r w:rsidR="003221A8" w:rsidRPr="004A1148">
        <w:t>al</w:t>
      </w:r>
      <w:r w:rsidRPr="004A1148">
        <w:t xml:space="preserve"> with planned holds of treated wastewater effluent from Sacramento Regional Wastewater Treatment Plant (SRWTP). SRWTP halted treated effluent releases to the Sacramento River at their outflow site (38° 27’ 15”N, 121° 30’ 00”W), located just south of Freeport Bridge, from 23:54 on August 26</w:t>
      </w:r>
      <w:r w:rsidR="0046372C" w:rsidRPr="004A1148">
        <w:rPr>
          <w:vertAlign w:val="superscript"/>
        </w:rPr>
        <w:t>th</w:t>
      </w:r>
      <w:r w:rsidRPr="004A1148">
        <w:t xml:space="preserve"> t</w:t>
      </w:r>
      <w:r w:rsidR="002339FF" w:rsidRPr="004A1148">
        <w:t>hrough</w:t>
      </w:r>
      <w:r w:rsidRPr="004A1148">
        <w:t xml:space="preserve"> 01:25 on August 28</w:t>
      </w:r>
      <w:r w:rsidR="002339FF" w:rsidRPr="004A1148">
        <w:rPr>
          <w:vertAlign w:val="superscript"/>
        </w:rPr>
        <w:t>th</w:t>
      </w:r>
      <w:r w:rsidRPr="004A1148">
        <w:t>, 2019, and from 23:57 on September 9</w:t>
      </w:r>
      <w:r w:rsidR="002339FF" w:rsidRPr="004A1148">
        <w:rPr>
          <w:vertAlign w:val="superscript"/>
        </w:rPr>
        <w:t>th</w:t>
      </w:r>
      <w:r w:rsidRPr="004A1148">
        <w:t xml:space="preserve"> t</w:t>
      </w:r>
      <w:r w:rsidR="002339FF" w:rsidRPr="004A1148">
        <w:t>hrough</w:t>
      </w:r>
      <w:r w:rsidRPr="004A1148">
        <w:t xml:space="preserve"> 01:19 on September 12</w:t>
      </w:r>
      <w:r w:rsidR="002339FF" w:rsidRPr="004A1148">
        <w:rPr>
          <w:vertAlign w:val="superscript"/>
        </w:rPr>
        <w:t>th</w:t>
      </w:r>
      <w:r w:rsidRPr="004A1148">
        <w:t>, 2019</w:t>
      </w:r>
      <w:r w:rsidR="00A6025D">
        <w:t>.</w:t>
      </w:r>
      <w:r w:rsidRPr="004A1148">
        <w:t xml:space="preserve"> The purpose of this study was to observe changes in nutrients, phytoplankton, and related water quality constituents in the different waterways surveyed under conditions representing </w:t>
      </w:r>
      <w:r w:rsidR="007C63D1" w:rsidRPr="004A1148">
        <w:t xml:space="preserve">(i) </w:t>
      </w:r>
      <w:r w:rsidRPr="004A1148">
        <w:t>typical contribution from SRWTP effluent,</w:t>
      </w:r>
      <w:r w:rsidR="007C63D1" w:rsidRPr="004A1148">
        <w:t xml:space="preserve"> (ii)</w:t>
      </w:r>
      <w:r w:rsidRPr="004A1148">
        <w:t xml:space="preserve"> </w:t>
      </w:r>
      <w:r w:rsidR="003F32F0" w:rsidRPr="004A1148">
        <w:t xml:space="preserve">the </w:t>
      </w:r>
      <w:r w:rsidRPr="004A1148">
        <w:t xml:space="preserve">transition from typical SRWTP effluent conditions to SRTWP effluent-free conditions, and </w:t>
      </w:r>
      <w:r w:rsidR="000B4D77" w:rsidRPr="004A1148">
        <w:t xml:space="preserve">(iii) </w:t>
      </w:r>
      <w:r w:rsidRPr="004A1148">
        <w:t xml:space="preserve">SRTWP effluent-free conditions. </w:t>
      </w:r>
    </w:p>
    <w:p w14:paraId="66C77962" w14:textId="77777777" w:rsidR="00843D20" w:rsidRPr="004A1148" w:rsidRDefault="00843D20">
      <w:pPr>
        <w:spacing w:after="36" w:line="259" w:lineRule="auto"/>
        <w:ind w:left="0" w:firstLine="0"/>
      </w:pPr>
    </w:p>
    <w:p w14:paraId="4D21B047" w14:textId="5317A1AB" w:rsidR="00843D20" w:rsidRPr="004A1148" w:rsidRDefault="00843D20" w:rsidP="00843D20">
      <w:pPr>
        <w:pStyle w:val="Heading2"/>
        <w:ind w:left="-5"/>
        <w:rPr>
          <w:b/>
        </w:rPr>
      </w:pPr>
      <w:r w:rsidRPr="004A1148">
        <w:rPr>
          <w:b/>
          <w:bCs/>
        </w:rPr>
        <w:t xml:space="preserve">Definition of regions and reaches for analysis </w:t>
      </w:r>
      <w:r w:rsidRPr="004A1148">
        <w:rPr>
          <w:b/>
        </w:rPr>
        <w:t xml:space="preserve"> </w:t>
      </w:r>
    </w:p>
    <w:p w14:paraId="4CA1F9F5" w14:textId="77777777" w:rsidR="00843D20" w:rsidRPr="004A1148" w:rsidRDefault="00843D20" w:rsidP="00843D20"/>
    <w:p w14:paraId="20746491" w14:textId="4CB7E7E6" w:rsidR="00843D20" w:rsidRPr="004A1148" w:rsidRDefault="00843D20" w:rsidP="00843D20">
      <w:pPr>
        <w:spacing w:after="189"/>
        <w:ind w:left="-5" w:right="53"/>
      </w:pPr>
      <w:r w:rsidRPr="004A1148">
        <w:t xml:space="preserve">To evaluate temporal and spatial trends and to identify controls on nutrients, phytoplankton, and other water quality parameters at the regional scale, we defined ‘Study Regions’ based on hydrodynamically distinct zones identified by Jabusch </w:t>
      </w:r>
      <w:r w:rsidR="008F3970">
        <w:t>and others</w:t>
      </w:r>
      <w:r w:rsidRPr="004A1148">
        <w:t xml:space="preserve"> (2016). Sample collection for this data release took place in the North Delta and Mokelumne System tidal transition zones. A ‘transition zone’ is defined where transport is dominated by tidal forcing.  </w:t>
      </w:r>
    </w:p>
    <w:p w14:paraId="3894E474" w14:textId="2C557DCA" w:rsidR="00B276DC" w:rsidRPr="004A1148" w:rsidRDefault="00D57F8C">
      <w:pPr>
        <w:spacing w:after="36" w:line="259" w:lineRule="auto"/>
        <w:ind w:left="0" w:firstLine="0"/>
      </w:pPr>
      <w:r w:rsidRPr="004A1148">
        <w:t xml:space="preserve"> </w:t>
      </w:r>
    </w:p>
    <w:p w14:paraId="04890F40" w14:textId="71603CAA" w:rsidR="00B276DC" w:rsidRPr="004A1148" w:rsidRDefault="00D57F8C">
      <w:pPr>
        <w:pStyle w:val="Heading2"/>
        <w:ind w:left="-5"/>
        <w:rPr>
          <w:b/>
          <w:bCs/>
        </w:rPr>
      </w:pPr>
      <w:r w:rsidRPr="004A1148">
        <w:rPr>
          <w:b/>
          <w:bCs/>
        </w:rPr>
        <w:t xml:space="preserve">Sampling and analysis  </w:t>
      </w:r>
    </w:p>
    <w:p w14:paraId="140428F8" w14:textId="77777777" w:rsidR="00486BE3" w:rsidRPr="004A1148" w:rsidRDefault="00486BE3" w:rsidP="00486BE3"/>
    <w:p w14:paraId="191AACDF" w14:textId="77777777" w:rsidR="00B276DC" w:rsidRPr="004A1148" w:rsidRDefault="00D57F8C">
      <w:pPr>
        <w:pStyle w:val="Heading3"/>
        <w:ind w:left="-5"/>
        <w:rPr>
          <w:b/>
          <w:bCs/>
          <w:i/>
          <w:iCs/>
        </w:rPr>
      </w:pPr>
      <w:r w:rsidRPr="004A1148">
        <w:rPr>
          <w:b/>
          <w:bCs/>
          <w:i/>
          <w:iCs/>
        </w:rPr>
        <w:t xml:space="preserve">Underway high resolution (HR) water sampling and onboard analyses </w:t>
      </w:r>
    </w:p>
    <w:p w14:paraId="2F669758" w14:textId="55836572" w:rsidR="00B276DC" w:rsidRPr="004A1148" w:rsidRDefault="00D57F8C">
      <w:pPr>
        <w:spacing w:after="170"/>
        <w:ind w:left="-5" w:right="53"/>
      </w:pPr>
      <w:r w:rsidRPr="004A1148">
        <w:t>Surveys were conducted using the USGS R/V Mary Landsteiner on August 28</w:t>
      </w:r>
      <w:r w:rsidR="00E971EC" w:rsidRPr="004A1148">
        <w:rPr>
          <w:vertAlign w:val="superscript"/>
        </w:rPr>
        <w:t>th</w:t>
      </w:r>
      <w:r w:rsidRPr="004A1148">
        <w:t xml:space="preserve"> and September 10</w:t>
      </w:r>
      <w:r w:rsidRPr="004A1148">
        <w:rPr>
          <w:vertAlign w:val="superscript"/>
        </w:rPr>
        <w:t>th</w:t>
      </w:r>
      <w:r w:rsidRPr="004A1148">
        <w:t xml:space="preserve"> through 12</w:t>
      </w:r>
      <w:r w:rsidRPr="004A1148">
        <w:rPr>
          <w:vertAlign w:val="superscript"/>
        </w:rPr>
        <w:t>th</w:t>
      </w:r>
      <w:r w:rsidRPr="004A1148">
        <w:t>, 2019, following the approach described by</w:t>
      </w:r>
      <w:r w:rsidR="00BB00E2" w:rsidRPr="004A1148">
        <w:t xml:space="preserve"> Fichot </w:t>
      </w:r>
      <w:r w:rsidR="008F3970">
        <w:t>and others</w:t>
      </w:r>
      <w:r w:rsidR="00BB00E2" w:rsidRPr="004A1148">
        <w:t xml:space="preserve"> (201</w:t>
      </w:r>
      <w:r w:rsidR="00913039">
        <w:t>6</w:t>
      </w:r>
      <w:r w:rsidR="00BB00E2" w:rsidRPr="004A1148">
        <w:t xml:space="preserve">), Downing </w:t>
      </w:r>
      <w:r w:rsidR="008F3970">
        <w:t>and others</w:t>
      </w:r>
      <w:r w:rsidR="00BB00E2" w:rsidRPr="004A1148">
        <w:t xml:space="preserve"> (2016), Kimmerer </w:t>
      </w:r>
      <w:r w:rsidR="008F3970">
        <w:t>and others</w:t>
      </w:r>
      <w:r w:rsidR="00BB00E2" w:rsidRPr="004A1148">
        <w:t xml:space="preserve"> (2019)</w:t>
      </w:r>
      <w:r w:rsidR="008F3970">
        <w:t>,</w:t>
      </w:r>
      <w:r w:rsidR="008D3112" w:rsidRPr="004A1148">
        <w:t xml:space="preserve"> </w:t>
      </w:r>
      <w:r w:rsidR="00BB00E2" w:rsidRPr="004A1148">
        <w:t xml:space="preserve">and Stumpner </w:t>
      </w:r>
      <w:r w:rsidR="008F3970">
        <w:t>and others</w:t>
      </w:r>
      <w:r w:rsidR="00BB00E2" w:rsidRPr="004A1148">
        <w:t xml:space="preserve"> (2020).</w:t>
      </w:r>
      <w:r w:rsidRPr="004A1148">
        <w:t xml:space="preserve"> On each day</w:t>
      </w:r>
      <w:r w:rsidR="00BB0182" w:rsidRPr="004A1148">
        <w:t>,</w:t>
      </w:r>
      <w:r w:rsidRPr="004A1148">
        <w:t xml:space="preserve"> data were collected during daylight hours. For analysis, sample water was continuously pumped onto the boat using two SHURflo Aqua King II pumps at a pressure of 55 psi and rate of 5 GPM </w:t>
      </w:r>
      <w:r w:rsidRPr="004A1148">
        <w:lastRenderedPageBreak/>
        <w:t xml:space="preserve">(SHURflo Pentair, London, United Kingdom) while underway at speeds up to 30 mph (13 m/s) using a pick-up tube mounted at a fixed depth of approximately 1 m below the surface, routed through a 178 μm in-line strainer (Cole Parmer; EW-29595-47, Vernon Hills, IL) to remove large debris and into a pressure-compensated manifold that maintained system pressure at a proscribed level irrespective of boat speed (Downing </w:t>
      </w:r>
      <w:r w:rsidR="008F3970">
        <w:t>and others</w:t>
      </w:r>
      <w:r w:rsidRPr="004A1148">
        <w:t>, 2016). A 2-stage debubbler was used to remove bubbles that can interfere with optical measurements. Sample</w:t>
      </w:r>
      <w:r w:rsidRPr="004A1148">
        <w:rPr>
          <w:sz w:val="22"/>
        </w:rPr>
        <w:t xml:space="preserve"> </w:t>
      </w:r>
      <w:r w:rsidRPr="004A1148">
        <w:t xml:space="preserve">water was split into separate flow paths for each analytical flow path, with constant flow rates maintained by metering the discharge line, except for the flow path serving the open split interface, which was metered on the feed line. Flows were continuously monitored using a sight gauge (0.1-1 GPM Flow Meter LZM-15 with adjustable knob) </w:t>
      </w:r>
      <w:r w:rsidR="004405A4" w:rsidRPr="004A1148">
        <w:t>on</w:t>
      </w:r>
      <w:r w:rsidRPr="004A1148">
        <w:t xml:space="preserve"> each flow path.  </w:t>
      </w:r>
    </w:p>
    <w:p w14:paraId="0DC8C484" w14:textId="2313BD45" w:rsidR="00B276DC" w:rsidRPr="004A1148" w:rsidRDefault="00D57F8C">
      <w:pPr>
        <w:ind w:left="-5" w:right="53"/>
      </w:pPr>
      <w:r w:rsidRPr="004A1148">
        <w:t xml:space="preserve">The manifold delivered water to the following flowpaths: (1) A flow-through system consisting of a thermosalinograph that recorded temperature and conductance (Sea-Bird Scientific SB45 (TSG), Belluve, WA); fluorometers that measured fluorescence of chlorophyll (fCHL) and fluorescence of dissolved organic matter (fDOM, WETLabs WETstar (WS), Philomath, OR); a beam transmissometer that recorded transmittance and attenuation (WETLabs model C-Star transmissometer (CStar), Philomath, OR), a nitrate (NO3) analyzer (SUNA V2; Sea-Bird Scientific, </w:t>
      </w:r>
    </w:p>
    <w:p w14:paraId="6A27C29C" w14:textId="0DB92776" w:rsidR="00B276DC" w:rsidRPr="004A1148" w:rsidRDefault="00D57F8C" w:rsidP="00C779AF">
      <w:pPr>
        <w:ind w:left="-5" w:right="53"/>
      </w:pPr>
      <w:r w:rsidRPr="004A1148">
        <w:t>Bellevue, WA). (2) A flow chamber for a multiparameter water quality sonde (YSI EXO2; Xylem Inc. (EXO), Rye Brook, New York) equipped with sensors to measure temperature, specific conductance (SpC), turbidity, pH, dissolved oxygen (DO), fDOM and fCHL that then passed water to a fluorometer designed to measure different algal classes (FluoroProbe III (FP); BBE Moldaenke, Kiel, Germany</w:t>
      </w:r>
      <w:r w:rsidR="00492EE3" w:rsidRPr="008F3970">
        <w:rPr>
          <w:szCs w:val="24"/>
        </w:rPr>
        <w:t>;</w:t>
      </w:r>
      <w:r w:rsidR="002A1F7A" w:rsidRPr="008F3970">
        <w:rPr>
          <w:szCs w:val="24"/>
        </w:rPr>
        <w:t xml:space="preserve"> </w:t>
      </w:r>
      <w:r w:rsidR="00492EE3" w:rsidRPr="008F3970">
        <w:rPr>
          <w:rStyle w:val="normaltextrun"/>
          <w:color w:val="auto"/>
          <w:szCs w:val="24"/>
        </w:rPr>
        <w:t xml:space="preserve">Beutler </w:t>
      </w:r>
      <w:r w:rsidR="008F3970" w:rsidRPr="008F3970">
        <w:rPr>
          <w:rStyle w:val="normaltextrun"/>
          <w:color w:val="auto"/>
          <w:szCs w:val="24"/>
        </w:rPr>
        <w:t>and others,</w:t>
      </w:r>
      <w:r w:rsidR="00492EE3" w:rsidRPr="008F3970">
        <w:rPr>
          <w:rStyle w:val="normaltextrun"/>
          <w:color w:val="auto"/>
          <w:szCs w:val="24"/>
        </w:rPr>
        <w:t xml:space="preserve"> 2002</w:t>
      </w:r>
      <w:r w:rsidRPr="004A1148">
        <w:rPr>
          <w:color w:val="auto"/>
          <w:szCs w:val="24"/>
        </w:rPr>
        <w:t>).</w:t>
      </w:r>
      <w:r w:rsidRPr="004A1148">
        <w:rPr>
          <w:color w:val="auto"/>
        </w:rPr>
        <w:t xml:space="preserve"> </w:t>
      </w:r>
      <w:r w:rsidRPr="004A1148">
        <w:t xml:space="preserve">(3) An open-split interface at atmospheric pressure that served water filtered through a </w:t>
      </w:r>
      <w:r w:rsidR="004A1148" w:rsidRPr="004A1148">
        <w:t>0.2 micron high-capacity in-line filter (Suez Memtrex, 25 cm length, MNY921EGS)</w:t>
      </w:r>
      <w:r w:rsidRPr="004A1148">
        <w:t xml:space="preserve"> to the on-board ammonium (NH4) analyzer.  </w:t>
      </w:r>
    </w:p>
    <w:p w14:paraId="1261BF87" w14:textId="77777777" w:rsidR="00B276DC" w:rsidRPr="004A1148" w:rsidRDefault="00D57F8C">
      <w:pPr>
        <w:spacing w:after="0" w:line="259" w:lineRule="auto"/>
        <w:ind w:left="0" w:firstLine="0"/>
      </w:pPr>
      <w:r w:rsidRPr="004A1148">
        <w:t xml:space="preserve"> </w:t>
      </w:r>
    </w:p>
    <w:p w14:paraId="4AFD6440" w14:textId="233A5D89" w:rsidR="00B276DC" w:rsidRPr="004A1148" w:rsidRDefault="00D57F8C">
      <w:pPr>
        <w:ind w:left="-5" w:right="53"/>
      </w:pPr>
      <w:r w:rsidRPr="004A1148">
        <w:t>The NH4 analyzer was a continuous flow, gas diffusion/conductivity-based (Carlson</w:t>
      </w:r>
      <w:r w:rsidR="00B94909">
        <w:t>,</w:t>
      </w:r>
      <w:r w:rsidRPr="004A1148">
        <w:t xml:space="preserve"> 19</w:t>
      </w:r>
      <w:r w:rsidR="00EA488D" w:rsidRPr="004A1148">
        <w:t>78</w:t>
      </w:r>
      <w:r w:rsidRPr="004A1148">
        <w:t>) analyzer for ammonium (NH4) analysis (TL-2800; Timberline Instruments, Boulder, CO) that was modified for field operation and continuous data collection by the manufacturer</w:t>
      </w:r>
      <w:r w:rsidR="00B94909">
        <w:t xml:space="preserve"> (</w:t>
      </w:r>
      <w:r w:rsidR="00B94909" w:rsidRPr="00B94909">
        <w:t>Thompson and others, 2023</w:t>
      </w:r>
      <w:r w:rsidR="00B94909">
        <w:t>)</w:t>
      </w:r>
      <w:r w:rsidRPr="004A1148">
        <w:t>. Modifications included installation in a ruggedized housing, addition of an automated line-switching valve, addition of a heating unit to maintain the instrument at a constant above-ambient temperature, and changes to the software. The analyzer was run in continuous mode with frequent periodic introduction of deionized organic-free water (OFW, resistivity &gt;18.2 MΩ/cm), and standard solutions to continuously assess instrument performance and to correct for baseline drift during the day. Full standard curves were run at the beginning and end of each day</w:t>
      </w:r>
      <w:r w:rsidR="008F3970">
        <w:t>,</w:t>
      </w:r>
      <w:r w:rsidRPr="004A1148">
        <w:t xml:space="preserve"> and partial curves</w:t>
      </w:r>
      <w:r w:rsidR="008F3970">
        <w:t xml:space="preserve"> were</w:t>
      </w:r>
      <w:r w:rsidRPr="004A1148">
        <w:t xml:space="preserve"> run throughout the day each time the boat stopped to sample.  </w:t>
      </w:r>
    </w:p>
    <w:p w14:paraId="75FBCCA7" w14:textId="77777777" w:rsidR="00B276DC" w:rsidRPr="004A1148" w:rsidRDefault="00D57F8C">
      <w:pPr>
        <w:spacing w:after="0" w:line="259" w:lineRule="auto"/>
        <w:ind w:left="0" w:firstLine="0"/>
      </w:pPr>
      <w:r w:rsidRPr="004A1148">
        <w:t xml:space="preserve"> </w:t>
      </w:r>
    </w:p>
    <w:p w14:paraId="57E727F7" w14:textId="5817C688" w:rsidR="00B276DC" w:rsidRPr="004A1148" w:rsidRDefault="00D57F8C">
      <w:pPr>
        <w:ind w:left="-5" w:right="53"/>
      </w:pPr>
      <w:r w:rsidRPr="004A1148">
        <w:t>All instrumentation was cleaned, and calibrations were checked prior to each use following the manufacturer's recommendation or as described below. Data for most instruments w</w:t>
      </w:r>
      <w:r w:rsidR="0092540E" w:rsidRPr="004A1148">
        <w:t>ere</w:t>
      </w:r>
      <w:r w:rsidRPr="004A1148">
        <w:t xml:space="preserve"> recorded at 1-second frequency on a single data logger (CR6, Campbell Scientific, Logan, Utah) together with a timestamp and boat position obtained from a high-resolution global positioning system receiver (16X-HVS, Garmin, Olathe, Kansas). The FluoroProbe logged data internally and </w:t>
      </w:r>
      <w:r w:rsidRPr="004A1148">
        <w:lastRenderedPageBreak/>
        <w:t>to the host software every 4 seconds. The NH4 analyzer was connected to a stand-alone computer and collected data through its native software.</w:t>
      </w:r>
      <w:r w:rsidRPr="004A1148">
        <w:rPr>
          <w:rFonts w:ascii="Times New Roman" w:eastAsia="Times New Roman" w:hAnsi="Times New Roman" w:cs="Times New Roman"/>
          <w:sz w:val="27"/>
        </w:rPr>
        <w:t xml:space="preserve"> </w:t>
      </w:r>
      <w:r w:rsidRPr="004A1148">
        <w:t xml:space="preserve">All data were displayed in real time, so scientists on board could respond when they observed changes relevant to study objectives, or if issues with flow or instrument performance were noted. Data collected in situ are referred to as high resolution (HR) parameters.  </w:t>
      </w:r>
    </w:p>
    <w:p w14:paraId="59F50DF7" w14:textId="77777777" w:rsidR="00B276DC" w:rsidRPr="004A1148" w:rsidRDefault="00D57F8C">
      <w:pPr>
        <w:spacing w:after="0" w:line="259" w:lineRule="auto"/>
        <w:ind w:left="0" w:firstLine="0"/>
      </w:pPr>
      <w:r w:rsidRPr="004A1148">
        <w:rPr>
          <w:b/>
        </w:rPr>
        <w:t xml:space="preserve"> </w:t>
      </w:r>
    </w:p>
    <w:p w14:paraId="29259167" w14:textId="7CFF07DD" w:rsidR="00B276DC" w:rsidRPr="004A1148" w:rsidRDefault="00D57F8C">
      <w:pPr>
        <w:pStyle w:val="Heading3"/>
        <w:ind w:left="-5"/>
        <w:rPr>
          <w:b/>
          <w:bCs/>
          <w:i/>
          <w:iCs/>
        </w:rPr>
      </w:pPr>
      <w:r w:rsidRPr="004A1148">
        <w:rPr>
          <w:b/>
          <w:bCs/>
          <w:i/>
          <w:iCs/>
        </w:rPr>
        <w:t xml:space="preserve">Discrete water sampling (DS) and laboratory analyses </w:t>
      </w:r>
    </w:p>
    <w:p w14:paraId="5EDD9DA6" w14:textId="77777777" w:rsidR="00843D20" w:rsidRPr="004A1148" w:rsidRDefault="00843D20" w:rsidP="00843D20"/>
    <w:p w14:paraId="5C75050D" w14:textId="275F2EA1" w:rsidR="00B276DC" w:rsidRPr="004A1148" w:rsidRDefault="00D57F8C">
      <w:pPr>
        <w:ind w:left="-5" w:right="53"/>
      </w:pPr>
      <w:r w:rsidRPr="004A1148">
        <w:t>Discrete water samples (DS) were collected either underway or–in the case of more extensive sample requirements–while stopped on station. Discrete samples were collected while underway either using a fourth flow path on the sampling manifold</w:t>
      </w:r>
      <w:r w:rsidR="00126DF5" w:rsidRPr="004A1148">
        <w:t>,</w:t>
      </w:r>
      <w:r w:rsidRPr="004A1148">
        <w:t xml:space="preserve"> or using a separate system with a separate pick-up tube mounted adjacent to the main sampling pick-up </w:t>
      </w:r>
      <w:r w:rsidR="008008A9" w:rsidRPr="004A1148">
        <w:t xml:space="preserve">and pumped </w:t>
      </w:r>
      <w:r w:rsidRPr="004A1148">
        <w:t>through a 0.</w:t>
      </w:r>
      <w:r w:rsidR="00F80654" w:rsidRPr="004A1148">
        <w:t>2</w:t>
      </w:r>
      <w:r w:rsidRPr="004A1148">
        <w:t xml:space="preserve">-micron filter </w:t>
      </w:r>
      <w:r w:rsidR="00360B09" w:rsidRPr="004A1148">
        <w:t xml:space="preserve">(Suez Memtrex, 25 cm length, MNY921EGS) </w:t>
      </w:r>
      <w:r w:rsidRPr="004A1148">
        <w:t xml:space="preserve">into a sample bottle. At designated sampling stations (approximately 10 per day) samples for determination of NH4, NO3, PO4, dissolved organic carbon (DOC), and total dissolved nitrogen (TDN) concentrations were collected using this system. </w:t>
      </w:r>
      <w:r w:rsidR="00360B09" w:rsidRPr="004A1148">
        <w:t xml:space="preserve">Also at these stations </w:t>
      </w:r>
      <w:r w:rsidRPr="004A1148">
        <w:t>unfiltered samples were collected approximately from 1 m depth using a submersible pump for analysis of chlorophyll</w:t>
      </w:r>
      <w:r w:rsidR="00B94909">
        <w:t xml:space="preserve"> </w:t>
      </w:r>
      <w:r w:rsidRPr="00B94909">
        <w:t>a</w:t>
      </w:r>
      <w:r w:rsidRPr="004A1148">
        <w:t xml:space="preserve"> (Chl</w:t>
      </w:r>
      <w:r w:rsidR="00B94909">
        <w:t xml:space="preserve"> </w:t>
      </w:r>
      <w:r w:rsidRPr="004A1148">
        <w:rPr>
          <w:i/>
        </w:rPr>
        <w:t>a</w:t>
      </w:r>
      <w:r w:rsidRPr="004A1148">
        <w:t xml:space="preserve">), pheophytin, phytoplankton enumeration, and picocyanobacterial counts. Samples for phytoplankton enumeration and picocyanobacteria counts were fixed immediately with Lugol’s iodine solution (4 mL) and formaldehyde (1 mL), respectively.  </w:t>
      </w:r>
    </w:p>
    <w:p w14:paraId="104F9E77" w14:textId="77777777" w:rsidR="00B276DC" w:rsidRPr="004A1148" w:rsidRDefault="00D57F8C">
      <w:pPr>
        <w:spacing w:after="0" w:line="259" w:lineRule="auto"/>
        <w:ind w:left="0" w:firstLine="0"/>
      </w:pPr>
      <w:r w:rsidRPr="004A1148">
        <w:t xml:space="preserve"> </w:t>
      </w:r>
    </w:p>
    <w:p w14:paraId="597EED6E" w14:textId="5F090CB8" w:rsidR="00B276DC" w:rsidRPr="004A1148" w:rsidRDefault="00D57F8C">
      <w:pPr>
        <w:ind w:left="-5" w:right="53"/>
      </w:pPr>
      <w:r w:rsidRPr="004A1148">
        <w:t>All samples were stored on ice in the dark during transit to the laboratory where they were stored at 2°C. Dissolved organic carbon samples were preserved to &lt;2 pH with high-purity sulphuric acid the day following collection and stored at 2°C. Samples for pigment analysis were filtered within 24 hours of collection and immediately frozen (-80°C). Total Chl</w:t>
      </w:r>
      <w:r w:rsidR="00B94909">
        <w:t xml:space="preserve"> </w:t>
      </w:r>
      <w:r w:rsidRPr="004A1148">
        <w:rPr>
          <w:i/>
        </w:rPr>
        <w:t>a</w:t>
      </w:r>
      <w:r w:rsidRPr="004A1148">
        <w:t xml:space="preserve"> samples were filtered through a 0.3 μm nominal pore size glass fiber filter (Advantec MFS, Inc, Dublin, CA). Chl</w:t>
      </w:r>
      <w:r w:rsidR="00B94909">
        <w:t xml:space="preserve"> </w:t>
      </w:r>
      <w:r w:rsidRPr="004A1148">
        <w:rPr>
          <w:i/>
        </w:rPr>
        <w:t>a</w:t>
      </w:r>
      <w:r w:rsidRPr="004A1148">
        <w:t xml:space="preserve"> associated with the larger sized cell fraction were filtered through a 5 μm nominal pore size 25 mm polycarbonate filter (General Electric Healthcare, Chicago, IL). Frozen Chl</w:t>
      </w:r>
      <w:r w:rsidR="00B94909">
        <w:t xml:space="preserve"> </w:t>
      </w:r>
      <w:r w:rsidRPr="004A1148">
        <w:rPr>
          <w:i/>
        </w:rPr>
        <w:t>a</w:t>
      </w:r>
      <w:r w:rsidRPr="004A1148">
        <w:t xml:space="preserve"> samples and chilled nutrient samples were shipped to the USGS National Water Quality Laboratory (Denver, CO). </w:t>
      </w:r>
      <w:r w:rsidR="00F80654" w:rsidRPr="004A1148">
        <w:t>Picocyanobacteria and phytoplankton enumeration samples were shipped to BSA</w:t>
      </w:r>
      <w:r w:rsidRPr="004A1148">
        <w:t xml:space="preserve"> were shipped to BSA Environmental Services, Inc. (Beachwood, OH) </w:t>
      </w:r>
      <w:r w:rsidR="00F80654" w:rsidRPr="004A1148">
        <w:t xml:space="preserve">for analysis. </w:t>
      </w:r>
    </w:p>
    <w:p w14:paraId="7567899F" w14:textId="77777777" w:rsidR="00B276DC" w:rsidRPr="004A1148" w:rsidRDefault="00D57F8C">
      <w:pPr>
        <w:spacing w:after="0" w:line="259" w:lineRule="auto"/>
        <w:ind w:left="0" w:firstLine="0"/>
      </w:pPr>
      <w:r w:rsidRPr="004A1148">
        <w:t xml:space="preserve"> </w:t>
      </w:r>
    </w:p>
    <w:p w14:paraId="201791D9" w14:textId="77777777" w:rsidR="00B276DC" w:rsidRPr="004A1148" w:rsidRDefault="00D57F8C">
      <w:pPr>
        <w:ind w:left="-5" w:right="53"/>
      </w:pPr>
      <w:r w:rsidRPr="004A1148">
        <w:t xml:space="preserve">Concentrations of nutrients were determined colorimetrically using an automated-segmented flow analyzer. Concentrations of nitrogen as nitrite (NO2-N) and as nitrate plus nitrite (NO3-N + NO2-N) were determined by colorimetric analysis (Fishman, 1993; Patton and Kryskalla, 2011), ammonium as nitrogen (NH4-N) was determined by colorimetric analysis after reaction with salicylate-hypochlorite (Fishman, 1993), and total dissolved nitrogen (TDN) was determined by alkaline persulfate digestion (Patton and Kryskalla 2003). Orthophosphate as phosphorous (PO4-P; also referred to as soluble reactive phosphate) was determined by colorimetric analysis after reaction with NH4 molybdate and reduction with ascorbic acid (Patton and Truitt, 1992).  </w:t>
      </w:r>
    </w:p>
    <w:p w14:paraId="4342F9B0" w14:textId="77777777" w:rsidR="00B276DC" w:rsidRPr="004A1148" w:rsidRDefault="00D57F8C">
      <w:pPr>
        <w:spacing w:after="0" w:line="259" w:lineRule="auto"/>
        <w:ind w:left="0" w:firstLine="0"/>
      </w:pPr>
      <w:r w:rsidRPr="004A1148">
        <w:t xml:space="preserve"> </w:t>
      </w:r>
    </w:p>
    <w:p w14:paraId="7B71B631" w14:textId="5CAAB888" w:rsidR="00B276DC" w:rsidRPr="004A1148" w:rsidRDefault="00D57F8C">
      <w:pPr>
        <w:ind w:left="-5" w:right="53"/>
      </w:pPr>
      <w:r w:rsidRPr="004A1148">
        <w:lastRenderedPageBreak/>
        <w:t>Chl</w:t>
      </w:r>
      <w:r w:rsidR="00B94909">
        <w:t xml:space="preserve"> </w:t>
      </w:r>
      <w:r w:rsidRPr="00B94909">
        <w:rPr>
          <w:i/>
          <w:iCs/>
        </w:rPr>
        <w:t>a</w:t>
      </w:r>
      <w:r w:rsidRPr="004A1148">
        <w:t xml:space="preserve"> and phaeophytin concentrations were determined according to EPA Method 445.0 (Arar and Collins, 1997) using sonication extraction.  </w:t>
      </w:r>
    </w:p>
    <w:p w14:paraId="54676D29" w14:textId="77777777" w:rsidR="00B276DC" w:rsidRPr="004A1148" w:rsidRDefault="00D57F8C">
      <w:pPr>
        <w:spacing w:after="0" w:line="259" w:lineRule="auto"/>
        <w:ind w:left="0" w:firstLine="0"/>
      </w:pPr>
      <w:r w:rsidRPr="004A1148">
        <w:t xml:space="preserve"> </w:t>
      </w:r>
    </w:p>
    <w:p w14:paraId="1ED3A55F" w14:textId="77777777" w:rsidR="00B276DC" w:rsidRPr="004A1148" w:rsidRDefault="00D57F8C">
      <w:pPr>
        <w:ind w:left="-5" w:right="53"/>
      </w:pPr>
      <w:r w:rsidRPr="004A1148">
        <w:t xml:space="preserve">Dissolved organic carbon concentrations were measured using a total organic carbon analyzer </w:t>
      </w:r>
    </w:p>
    <w:p w14:paraId="084FC396" w14:textId="6852DA0D" w:rsidR="00B276DC" w:rsidRPr="004A1148" w:rsidRDefault="00D57F8C" w:rsidP="00066138">
      <w:pPr>
        <w:ind w:left="-5" w:right="53"/>
      </w:pPr>
      <w:r w:rsidRPr="004A1148">
        <w:t>(TOC-VCSH, Shimadzu Scientific Instruments, Columbia, Maryland) using high-temperature catalytic combustion according to a modified version of USEPA method 415.3 (Potter and Wimsatt, 2012</w:t>
      </w:r>
      <w:r w:rsidR="00A4674D" w:rsidRPr="004A1148">
        <w:t>)</w:t>
      </w:r>
      <w:r w:rsidRPr="004A1148">
        <w:t xml:space="preserve">.  The accuracy and precision of these measurements were within data quality objectives as indicated by an internal laboratory standard (caffeine), laboratory replicates, and matrix spikes. The laboratory reporting limit for DOC concentration was 0.30 mg C/L based on three times the standard deviation of a low concentration standard measured over an annual cycle.  Absorbance spectra and fluorescence EEMs were simultaneously measured using an Aqualog® equipped with a photodiode and charge-coupled device (CCD) (Horiba Instruments, NJ, USA) according to the method described by Hansen </w:t>
      </w:r>
      <w:r w:rsidR="008F3970">
        <w:t>and others</w:t>
      </w:r>
      <w:r w:rsidRPr="004A1148">
        <w:t xml:space="preserve">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w:t>
      </w:r>
      <w:r w:rsidR="008F3970">
        <w:t>and others</w:t>
      </w:r>
      <w:r w:rsidRPr="004A1148">
        <w:t xml:space="preserve"> (2016). </w:t>
      </w:r>
    </w:p>
    <w:p w14:paraId="18F8F058" w14:textId="21CBF5F2" w:rsidR="00B276DC" w:rsidRPr="004A1148" w:rsidRDefault="00B276DC">
      <w:pPr>
        <w:spacing w:after="0" w:line="259" w:lineRule="auto"/>
        <w:ind w:left="0" w:firstLine="0"/>
      </w:pPr>
    </w:p>
    <w:p w14:paraId="21290F1A" w14:textId="51A2C233" w:rsidR="00B276DC" w:rsidRPr="004A1148" w:rsidRDefault="00D57F8C">
      <w:pPr>
        <w:ind w:left="-5" w:right="53"/>
      </w:pPr>
      <w:r w:rsidRPr="008F3970">
        <w:rPr>
          <w:b/>
          <w:i/>
        </w:rPr>
        <w:t>Phytoplankton Enumeration</w:t>
      </w:r>
      <w:r w:rsidRPr="004A1148">
        <w:rPr>
          <w:bCs/>
          <w:i/>
        </w:rPr>
        <w:t>:</w:t>
      </w:r>
      <w:r w:rsidRPr="004A1148">
        <w:rPr>
          <w:b/>
          <w:i/>
        </w:rPr>
        <w:t xml:space="preserve"> </w:t>
      </w:r>
      <w:r w:rsidRPr="004A1148">
        <w:t xml:space="preserve">Phytoplankton enumeration was completed by BSA </w:t>
      </w:r>
    </w:p>
    <w:p w14:paraId="3F351596" w14:textId="77777777" w:rsidR="00B276DC" w:rsidRPr="004A1148" w:rsidRDefault="00D57F8C">
      <w:pPr>
        <w:ind w:left="-5" w:right="53"/>
      </w:pPr>
      <w:r w:rsidRPr="004A1148">
        <w:t xml:space="preserve">Environmental Services in accordance with the American Public Health Association (APHA) </w:t>
      </w:r>
    </w:p>
    <w:p w14:paraId="7289FDB8" w14:textId="3BD89277" w:rsidR="00B276DC" w:rsidRPr="004A1148" w:rsidRDefault="00D57F8C">
      <w:pPr>
        <w:ind w:left="-5" w:right="53"/>
      </w:pPr>
      <w:r w:rsidRPr="004A1148">
        <w:t>Standard Method</w:t>
      </w:r>
      <w:r w:rsidR="00787F67" w:rsidRPr="004A1148">
        <w:t xml:space="preserve"> </w:t>
      </w:r>
      <w:r w:rsidRPr="004A1148">
        <w:t>10200 (2012). This method focuses on counting and identifying microplank</w:t>
      </w:r>
      <w:r w:rsidR="00E13294" w:rsidRPr="004A1148">
        <w:t>t</w:t>
      </w:r>
      <w:r w:rsidRPr="004A1148">
        <w:t>on (20-200 microns) and nanoplankton (2 to 20 microns). Briefly, phytoplankton were enumerated to the lowest possible taxonomic level using membrane-filtered slides, as described in McNabb (1960), and counted using a Leica DMLB compound microscope. The magnification used (100X</w:t>
      </w:r>
      <w:r w:rsidR="00A4674D" w:rsidRPr="004A1148">
        <w:t xml:space="preserve"> or </w:t>
      </w:r>
      <w:r w:rsidRPr="004A1148">
        <w:t>1000X) depended upon the size of the dominant taxa and presence of particulates to ensure that enumeration and identification of taxa of various sizes was achieved. A minimum of 400 natural units (colonies, filaments, and unicells) or a minimum of 50 fields were counted from each sample</w:t>
      </w:r>
      <w:r w:rsidR="00066138" w:rsidRPr="004A1148">
        <w:t xml:space="preserve">. </w:t>
      </w:r>
      <w:r w:rsidRPr="004A1148">
        <w:t>Counting 400 natural units provides accuracy within 90-percent confidence limits</w:t>
      </w:r>
      <w:r w:rsidR="009F5C54" w:rsidRPr="004A1148">
        <w:t xml:space="preserve"> (Lund</w:t>
      </w:r>
      <w:r w:rsidR="00B94909">
        <w:t xml:space="preserve"> and others,</w:t>
      </w:r>
      <w:r w:rsidR="009F5C54" w:rsidRPr="004A1148">
        <w:t xml:space="preserve"> 1958)</w:t>
      </w:r>
      <w:r w:rsidRPr="004A1148">
        <w:t xml:space="preserve">. In addition, an entire strip of the filter was counted at high magnification (usually 630X) along with one-half of the filter at a lower magnification (usually 400X) to ensure complete species reporting. Cell biovolume of all identified taxa were estimated using formulae for solid geometric shapes that most closely match the cell shape; method by Hillebrand </w:t>
      </w:r>
      <w:r w:rsidR="008F3970">
        <w:t>and others</w:t>
      </w:r>
      <w:r w:rsidRPr="004A1148">
        <w:t xml:space="preserve"> (</w:t>
      </w:r>
      <w:r w:rsidR="00C356BF">
        <w:t>2002</w:t>
      </w:r>
      <w:r w:rsidRPr="004A1148">
        <w:t xml:space="preserve">). Biovolume calculations were based on measurements of 10 organisms per taxon for each sample, where possible. For taxa with substantial size variation (such as diatoms), size classes were designated arbitrarily to determine average cell size (biovolume). For each taxon, </w:t>
      </w:r>
      <w:r w:rsidR="00066138" w:rsidRPr="004A1148">
        <w:t xml:space="preserve">10 </w:t>
      </w:r>
      <w:r w:rsidRPr="004A1148">
        <w:t xml:space="preserve">cells were measured from each size class (assuming that enough were available). From Burkholder and Wetzel (1989), the mean biovolume within each size class were used to calculate the total biovolume contributed by the taxon to its representative sample. </w:t>
      </w:r>
    </w:p>
    <w:p w14:paraId="32D78111" w14:textId="77777777" w:rsidR="00B276DC" w:rsidRPr="004A1148" w:rsidRDefault="00D57F8C">
      <w:pPr>
        <w:spacing w:after="0" w:line="259" w:lineRule="auto"/>
        <w:ind w:left="0" w:firstLine="0"/>
      </w:pPr>
      <w:r w:rsidRPr="004A1148">
        <w:lastRenderedPageBreak/>
        <w:t xml:space="preserve">  </w:t>
      </w:r>
    </w:p>
    <w:p w14:paraId="107F4185" w14:textId="29FCA96A" w:rsidR="00B276DC" w:rsidRPr="004A1148" w:rsidRDefault="008F3970">
      <w:pPr>
        <w:ind w:left="-5" w:right="53"/>
      </w:pPr>
      <w:r w:rsidRPr="008F3970">
        <w:rPr>
          <w:b/>
          <w:i/>
        </w:rPr>
        <w:t>Picocyanobacteria direct counts</w:t>
      </w:r>
      <w:r>
        <w:rPr>
          <w:b/>
          <w:i/>
        </w:rPr>
        <w:t>:</w:t>
      </w:r>
      <w:r w:rsidRPr="008F3970">
        <w:t xml:space="preserve"> </w:t>
      </w:r>
      <w:r w:rsidR="00D57F8C" w:rsidRPr="004A1148">
        <w:t xml:space="preserve">Picocyanobacteria were enumerated via epifluorescence microscopy as described by Murrell and Lores (2004) using a Leica microscope and 1000X total magnification. Phycoerythrin-containing cells (PE) and phycocyanin-containing cells (PC) were counted separately and then summed to obtain total picocyanobacteria densities for cells sized between 0.2 and 2.0 microns. For each sample, a minimum of 300 cells were counted unless this tally was not reached within 100 fields. </w:t>
      </w:r>
    </w:p>
    <w:p w14:paraId="7D0144B5" w14:textId="77777777" w:rsidR="00B276DC" w:rsidRPr="004A1148" w:rsidRDefault="00D57F8C">
      <w:pPr>
        <w:spacing w:after="36" w:line="259" w:lineRule="auto"/>
        <w:ind w:left="0" w:firstLine="0"/>
      </w:pPr>
      <w:r w:rsidRPr="004A1148">
        <w:t xml:space="preserve"> </w:t>
      </w:r>
    </w:p>
    <w:p w14:paraId="34B5D934" w14:textId="77777777" w:rsidR="00B276DC" w:rsidRPr="004A1148" w:rsidRDefault="00D57F8C">
      <w:pPr>
        <w:pStyle w:val="Heading2"/>
        <w:ind w:left="-5"/>
        <w:rPr>
          <w:b/>
          <w:bCs/>
        </w:rPr>
      </w:pPr>
      <w:r w:rsidRPr="004A1148">
        <w:rPr>
          <w:b/>
          <w:bCs/>
        </w:rPr>
        <w:t xml:space="preserve">Data processing  </w:t>
      </w:r>
    </w:p>
    <w:p w14:paraId="3F5A66B3" w14:textId="77777777" w:rsidR="00B276DC" w:rsidRPr="004A1148" w:rsidRDefault="00D57F8C">
      <w:pPr>
        <w:spacing w:after="0" w:line="259" w:lineRule="auto"/>
        <w:ind w:left="0" w:firstLine="0"/>
        <w:rPr>
          <w:b/>
          <w:bCs/>
        </w:rPr>
      </w:pPr>
      <w:r w:rsidRPr="004A1148">
        <w:rPr>
          <w:b/>
          <w:bCs/>
        </w:rPr>
        <w:t xml:space="preserve"> </w:t>
      </w:r>
    </w:p>
    <w:p w14:paraId="0A22AD75" w14:textId="108C0A0B" w:rsidR="00B276DC" w:rsidRPr="004A1148" w:rsidRDefault="00843D20">
      <w:pPr>
        <w:ind w:left="-5" w:right="53"/>
      </w:pPr>
      <w:bookmarkStart w:id="0" w:name="_Hlk110878489"/>
      <w:r w:rsidRPr="004A1148">
        <w:t>High resolution d</w:t>
      </w:r>
      <w:r w:rsidR="00D57F8C" w:rsidRPr="004A1148">
        <w:t xml:space="preserve">ata </w:t>
      </w:r>
      <w:bookmarkEnd w:id="0"/>
      <w:r w:rsidR="00D57F8C" w:rsidRPr="004A1148">
        <w:t xml:space="preserve">from onboard continuous instruments not directly logged to the flow-through data collection system were merged based on timestamp to the nearest second. All data directly logged to the flow-through data collection system was processed using </w:t>
      </w:r>
      <w:r w:rsidR="000A4F88" w:rsidRPr="004A1148">
        <w:t xml:space="preserve">the </w:t>
      </w:r>
      <w:r w:rsidR="00D57F8C" w:rsidRPr="004A1148">
        <w:t>pandas software library (0.220</w:t>
      </w:r>
      <w:r w:rsidR="00F42D9E" w:rsidRPr="004A1148">
        <w:t>;</w:t>
      </w:r>
      <w:r w:rsidR="00747A0D" w:rsidRPr="004A1148">
        <w:t xml:space="preserve"> McKinney</w:t>
      </w:r>
      <w:r w:rsidR="00F42D9E" w:rsidRPr="004A1148">
        <w:t xml:space="preserve">, </w:t>
      </w:r>
      <w:r w:rsidR="00747A0D" w:rsidRPr="004A1148">
        <w:t>2010</w:t>
      </w:r>
      <w:r w:rsidR="00D57F8C" w:rsidRPr="004A1148">
        <w:t>) in Python (3.7.3</w:t>
      </w:r>
      <w:r w:rsidR="00747A0D" w:rsidRPr="004A1148">
        <w:t xml:space="preserve">, </w:t>
      </w:r>
      <w:r w:rsidR="00747A0D" w:rsidRPr="004A1148">
        <w:rPr>
          <w:rFonts w:asciiTheme="minorHAnsi" w:hAnsiTheme="minorHAnsi" w:cstheme="minorHAnsi"/>
          <w:szCs w:val="24"/>
        </w:rPr>
        <w:t>Van Rossum</w:t>
      </w:r>
      <w:r w:rsidR="00F42D9E" w:rsidRPr="004A1148">
        <w:rPr>
          <w:rFonts w:asciiTheme="minorHAnsi" w:hAnsiTheme="minorHAnsi" w:cstheme="minorHAnsi"/>
          <w:szCs w:val="24"/>
        </w:rPr>
        <w:t xml:space="preserve"> and </w:t>
      </w:r>
      <w:r w:rsidR="00747A0D" w:rsidRPr="004A1148">
        <w:rPr>
          <w:rFonts w:asciiTheme="minorHAnsi" w:hAnsiTheme="minorHAnsi" w:cstheme="minorHAnsi"/>
          <w:szCs w:val="24"/>
        </w:rPr>
        <w:t>Drake, 2009</w:t>
      </w:r>
      <w:r w:rsidR="00D57F8C" w:rsidRPr="004A1148">
        <w:t>) to remove periods of compromised data (e.g. flow blockages, bubbles), to apply instrument corrections and unit conversions, and to apply a centered 20 second median filter to the time series. Final NO3 values were obtained by regressing instrument response against NO3 concentrations obtained from laboratory measurements of discrete samples collected through the course of the day. Individual sample results more than three standard deviations from the regression were judged to be outliers and removed from the regression</w:t>
      </w:r>
      <w:r w:rsidR="007A6C3B" w:rsidRPr="004A1148">
        <w:t xml:space="preserve"> (Pellerin </w:t>
      </w:r>
      <w:r w:rsidR="008F3970">
        <w:t>and others,</w:t>
      </w:r>
      <w:r w:rsidR="007A6C3B" w:rsidRPr="004A1148">
        <w:t xml:space="preserve"> 2013)</w:t>
      </w:r>
    </w:p>
    <w:p w14:paraId="6F651F78" w14:textId="77777777" w:rsidR="00B276DC" w:rsidRPr="004A1148" w:rsidRDefault="00D57F8C">
      <w:pPr>
        <w:spacing w:after="0" w:line="259" w:lineRule="auto"/>
        <w:ind w:left="0" w:firstLine="0"/>
      </w:pPr>
      <w:r w:rsidRPr="004A1148">
        <w:t xml:space="preserve"> </w:t>
      </w:r>
    </w:p>
    <w:p w14:paraId="157520C1" w14:textId="633899FF" w:rsidR="00B276DC" w:rsidRPr="004A1148" w:rsidRDefault="00D57F8C">
      <w:pPr>
        <w:ind w:left="-5" w:right="53"/>
      </w:pPr>
      <w:r w:rsidRPr="004A1148">
        <w:t xml:space="preserve">Larger differences between SUNA and laboratory NO3 concentration data are assumed to arise from 1) actual spatial heterogeneity in environmental NO3 concentrations between water entering the flow through system and that captured in the sample bottle, 2) interferences of turbidity and dissolved organic matter using the UV absorption method for nitrate, or 3) errors in sample handling and laboratory analysis. Excepting these potential sources of error, the field and laboratory NO3 measurements are typically well correlated with a linear fit. For the simple linear regressions, the SUNA NO3 concentration data was the explanatory variable to compute the response variable of the laboratory NO3 concentration. P-values were &lt;0.0001 for all regressions. Summary statistics and regressions for individual days are identified in Table 1. </w:t>
      </w:r>
    </w:p>
    <w:p w14:paraId="49763DCA" w14:textId="77777777" w:rsidR="00B276DC" w:rsidRPr="004A1148" w:rsidRDefault="00D57F8C">
      <w:pPr>
        <w:spacing w:after="0" w:line="259" w:lineRule="auto"/>
        <w:ind w:left="0" w:firstLine="0"/>
      </w:pPr>
      <w:r w:rsidRPr="004A1148">
        <w:t xml:space="preserve"> </w:t>
      </w:r>
    </w:p>
    <w:p w14:paraId="7E725F7B" w14:textId="77777777" w:rsidR="00C07EA4" w:rsidRPr="004A1148" w:rsidRDefault="00C07EA4">
      <w:pPr>
        <w:spacing w:after="160" w:line="259" w:lineRule="auto"/>
        <w:ind w:left="0" w:firstLine="0"/>
        <w:rPr>
          <w:b/>
        </w:rPr>
      </w:pPr>
      <w:r w:rsidRPr="004A1148">
        <w:rPr>
          <w:b/>
        </w:rPr>
        <w:br w:type="page"/>
      </w:r>
    </w:p>
    <w:p w14:paraId="582D58A1" w14:textId="11F4FBF3" w:rsidR="00B276DC" w:rsidRPr="004A1148" w:rsidRDefault="00D57F8C">
      <w:pPr>
        <w:ind w:left="-5" w:right="53"/>
      </w:pPr>
      <w:r w:rsidRPr="004A1148">
        <w:rPr>
          <w:b/>
        </w:rPr>
        <w:lastRenderedPageBreak/>
        <w:t>Table 1.</w:t>
      </w:r>
      <w:r w:rsidRPr="004A1148">
        <w:t xml:space="preserve"> Summary statistics and linear regressions for nitrate (NO3) concentration data obtained from high-resolution SUNA instrument and discrete samples analyzed using standard laboratory methods [n, number of observations; µM, micromolar; mean, mean high-resolution nitrate concentration; median, median high-resolution nitrate concentration; min, minimum high-resolution nitrate concentration; max, maximum high-resolution nitrate concentration; SS, sum of squared error; SSE, sum of squared estimate of error; MSE, mean square error; RMSE, root mean square error; %, percent; MSPE, model standard percentage error; R</w:t>
      </w:r>
      <w:r w:rsidRPr="004A1148">
        <w:rPr>
          <w:vertAlign w:val="superscript"/>
        </w:rPr>
        <w:t>2</w:t>
      </w:r>
      <w:r w:rsidRPr="004A1148">
        <w:t>, coefficient of determination; *, asterisk indicates adjusted R</w:t>
      </w:r>
      <w:r w:rsidRPr="004A1148">
        <w:rPr>
          <w:vertAlign w:val="superscript"/>
        </w:rPr>
        <w:t>2</w:t>
      </w:r>
      <w:r w:rsidRPr="004A1148">
        <w:t xml:space="preserve">]. </w:t>
      </w:r>
    </w:p>
    <w:p w14:paraId="761B870E" w14:textId="3CF25DBB" w:rsidR="009B278D" w:rsidRPr="004A1148" w:rsidRDefault="00D57F8C">
      <w:pPr>
        <w:spacing w:after="0" w:line="259" w:lineRule="auto"/>
        <w:ind w:left="0" w:firstLine="0"/>
      </w:pPr>
      <w:r w:rsidRPr="004A1148">
        <w:t xml:space="preserve"> </w:t>
      </w:r>
    </w:p>
    <w:tbl>
      <w:tblPr>
        <w:tblStyle w:val="TableGrid"/>
        <w:tblW w:w="9335" w:type="dxa"/>
        <w:tblInd w:w="6" w:type="dxa"/>
        <w:tblCellMar>
          <w:top w:w="52" w:type="dxa"/>
          <w:left w:w="31" w:type="dxa"/>
        </w:tblCellMar>
        <w:tblLook w:val="04A0" w:firstRow="1" w:lastRow="0" w:firstColumn="1" w:lastColumn="0" w:noHBand="0" w:noVBand="1"/>
      </w:tblPr>
      <w:tblGrid>
        <w:gridCol w:w="982"/>
        <w:gridCol w:w="884"/>
        <w:gridCol w:w="356"/>
        <w:gridCol w:w="528"/>
        <w:gridCol w:w="504"/>
        <w:gridCol w:w="699"/>
        <w:gridCol w:w="517"/>
        <w:gridCol w:w="478"/>
        <w:gridCol w:w="468"/>
        <w:gridCol w:w="467"/>
        <w:gridCol w:w="553"/>
        <w:gridCol w:w="553"/>
        <w:gridCol w:w="1032"/>
        <w:gridCol w:w="663"/>
        <w:gridCol w:w="651"/>
      </w:tblGrid>
      <w:tr w:rsidR="00B276DC" w:rsidRPr="004A1148" w14:paraId="0FEB24A3" w14:textId="77777777">
        <w:trPr>
          <w:trHeight w:val="491"/>
        </w:trPr>
        <w:tc>
          <w:tcPr>
            <w:tcW w:w="983" w:type="dxa"/>
            <w:tcBorders>
              <w:top w:val="single" w:sz="5" w:space="0" w:color="000000"/>
              <w:left w:val="single" w:sz="5" w:space="0" w:color="000000"/>
              <w:bottom w:val="single" w:sz="5" w:space="0" w:color="000000"/>
              <w:right w:val="single" w:sz="5" w:space="0" w:color="000000"/>
            </w:tcBorders>
            <w:vAlign w:val="center"/>
          </w:tcPr>
          <w:p w14:paraId="5577ECAF" w14:textId="77777777" w:rsidR="00B276DC" w:rsidRPr="004A1148" w:rsidRDefault="00D57F8C">
            <w:pPr>
              <w:spacing w:after="0" w:line="259" w:lineRule="auto"/>
              <w:ind w:left="61" w:firstLine="0"/>
            </w:pPr>
            <w:r w:rsidRPr="004A1148">
              <w:rPr>
                <w:b/>
                <w:sz w:val="18"/>
              </w:rPr>
              <w:t>Parameter</w:t>
            </w:r>
          </w:p>
        </w:tc>
        <w:tc>
          <w:tcPr>
            <w:tcW w:w="884" w:type="dxa"/>
            <w:tcBorders>
              <w:top w:val="single" w:sz="5" w:space="0" w:color="000000"/>
              <w:left w:val="single" w:sz="5" w:space="0" w:color="000000"/>
              <w:bottom w:val="single" w:sz="5" w:space="0" w:color="000000"/>
              <w:right w:val="single" w:sz="5" w:space="0" w:color="000000"/>
            </w:tcBorders>
            <w:vAlign w:val="center"/>
          </w:tcPr>
          <w:p w14:paraId="74BFC91E" w14:textId="77777777" w:rsidR="00B276DC" w:rsidRPr="004A1148" w:rsidRDefault="00D57F8C">
            <w:pPr>
              <w:spacing w:after="0" w:line="259" w:lineRule="auto"/>
              <w:ind w:left="0" w:right="36" w:firstLine="0"/>
              <w:jc w:val="center"/>
            </w:pPr>
            <w:r w:rsidRPr="004A1148">
              <w:rPr>
                <w:b/>
                <w:sz w:val="18"/>
              </w:rPr>
              <w:t>Date</w:t>
            </w:r>
          </w:p>
        </w:tc>
        <w:tc>
          <w:tcPr>
            <w:tcW w:w="356" w:type="dxa"/>
            <w:tcBorders>
              <w:top w:val="single" w:sz="5" w:space="0" w:color="000000"/>
              <w:left w:val="single" w:sz="5" w:space="0" w:color="000000"/>
              <w:bottom w:val="single" w:sz="5" w:space="0" w:color="000000"/>
              <w:right w:val="single" w:sz="5" w:space="0" w:color="000000"/>
            </w:tcBorders>
            <w:vAlign w:val="center"/>
          </w:tcPr>
          <w:p w14:paraId="7C93720A" w14:textId="77777777" w:rsidR="00B276DC" w:rsidRPr="004A1148" w:rsidRDefault="00D57F8C">
            <w:pPr>
              <w:spacing w:after="0" w:line="259" w:lineRule="auto"/>
              <w:ind w:left="98" w:firstLine="0"/>
            </w:pPr>
            <w:r w:rsidRPr="004A1148">
              <w:rPr>
                <w:b/>
                <w:sz w:val="18"/>
              </w:rPr>
              <w:t>n</w:t>
            </w:r>
          </w:p>
        </w:tc>
        <w:tc>
          <w:tcPr>
            <w:tcW w:w="528" w:type="dxa"/>
            <w:tcBorders>
              <w:top w:val="single" w:sz="5" w:space="0" w:color="000000"/>
              <w:left w:val="single" w:sz="5" w:space="0" w:color="000000"/>
              <w:bottom w:val="single" w:sz="5" w:space="0" w:color="000000"/>
              <w:right w:val="single" w:sz="5" w:space="0" w:color="000000"/>
            </w:tcBorders>
          </w:tcPr>
          <w:p w14:paraId="3F8AEA6F" w14:textId="77777777" w:rsidR="00B276DC" w:rsidRPr="004A1148" w:rsidRDefault="00D57F8C">
            <w:pPr>
              <w:spacing w:after="0" w:line="259" w:lineRule="auto"/>
              <w:ind w:left="37" w:firstLine="12"/>
            </w:pPr>
            <w:r w:rsidRPr="004A1148">
              <w:rPr>
                <w:b/>
                <w:sz w:val="18"/>
              </w:rPr>
              <w:t>min  (µM)</w:t>
            </w:r>
          </w:p>
        </w:tc>
        <w:tc>
          <w:tcPr>
            <w:tcW w:w="504" w:type="dxa"/>
            <w:tcBorders>
              <w:top w:val="single" w:sz="5" w:space="0" w:color="000000"/>
              <w:left w:val="single" w:sz="5" w:space="0" w:color="000000"/>
              <w:bottom w:val="single" w:sz="5" w:space="0" w:color="000000"/>
              <w:right w:val="single" w:sz="5" w:space="0" w:color="000000"/>
            </w:tcBorders>
          </w:tcPr>
          <w:p w14:paraId="4F508774" w14:textId="77777777" w:rsidR="00B276DC" w:rsidRPr="004A1148" w:rsidRDefault="00D57F8C">
            <w:pPr>
              <w:spacing w:after="0" w:line="259" w:lineRule="auto"/>
              <w:ind w:left="37" w:hanging="12"/>
            </w:pPr>
            <w:r w:rsidRPr="004A1148">
              <w:rPr>
                <w:b/>
                <w:sz w:val="18"/>
              </w:rPr>
              <w:t>max  (µM)</w:t>
            </w:r>
          </w:p>
        </w:tc>
        <w:tc>
          <w:tcPr>
            <w:tcW w:w="699" w:type="dxa"/>
            <w:tcBorders>
              <w:top w:val="single" w:sz="5" w:space="0" w:color="000000"/>
              <w:left w:val="single" w:sz="5" w:space="0" w:color="000000"/>
              <w:bottom w:val="single" w:sz="5" w:space="0" w:color="000000"/>
              <w:right w:val="single" w:sz="6" w:space="0" w:color="000000"/>
            </w:tcBorders>
          </w:tcPr>
          <w:p w14:paraId="5F6952E4" w14:textId="77777777" w:rsidR="00B276DC" w:rsidRPr="004A1148" w:rsidRDefault="00D57F8C">
            <w:pPr>
              <w:spacing w:after="0" w:line="259" w:lineRule="auto"/>
              <w:ind w:left="110" w:hanging="98"/>
            </w:pPr>
            <w:r w:rsidRPr="004A1148">
              <w:rPr>
                <w:b/>
                <w:sz w:val="18"/>
              </w:rPr>
              <w:t>median   (µM)</w:t>
            </w:r>
          </w:p>
        </w:tc>
        <w:tc>
          <w:tcPr>
            <w:tcW w:w="517" w:type="dxa"/>
            <w:tcBorders>
              <w:top w:val="single" w:sz="5" w:space="0" w:color="000000"/>
              <w:left w:val="single" w:sz="6" w:space="0" w:color="000000"/>
              <w:bottom w:val="single" w:sz="5" w:space="0" w:color="000000"/>
              <w:right w:val="single" w:sz="5" w:space="0" w:color="000000"/>
            </w:tcBorders>
          </w:tcPr>
          <w:p w14:paraId="669DE84A" w14:textId="77777777" w:rsidR="00B276DC" w:rsidRPr="004A1148" w:rsidRDefault="00D57F8C">
            <w:pPr>
              <w:spacing w:after="0" w:line="259" w:lineRule="auto"/>
              <w:ind w:left="0" w:right="42" w:firstLine="0"/>
              <w:jc w:val="right"/>
            </w:pPr>
            <w:r w:rsidRPr="004A1148">
              <w:rPr>
                <w:b/>
                <w:sz w:val="18"/>
              </w:rPr>
              <w:t>mean  (µM)</w:t>
            </w:r>
          </w:p>
        </w:tc>
        <w:tc>
          <w:tcPr>
            <w:tcW w:w="478" w:type="dxa"/>
            <w:tcBorders>
              <w:top w:val="single" w:sz="5" w:space="0" w:color="000000"/>
              <w:left w:val="single" w:sz="5" w:space="0" w:color="000000"/>
              <w:bottom w:val="single" w:sz="5" w:space="0" w:color="000000"/>
              <w:right w:val="single" w:sz="6" w:space="0" w:color="000000"/>
            </w:tcBorders>
          </w:tcPr>
          <w:p w14:paraId="52E55B90" w14:textId="77777777" w:rsidR="00B276DC" w:rsidRPr="004A1148" w:rsidRDefault="00D57F8C">
            <w:pPr>
              <w:spacing w:after="3" w:line="259" w:lineRule="auto"/>
              <w:ind w:left="98" w:firstLine="0"/>
            </w:pPr>
            <w:r w:rsidRPr="004A1148">
              <w:rPr>
                <w:b/>
                <w:sz w:val="18"/>
              </w:rPr>
              <w:t xml:space="preserve">SS </w:t>
            </w:r>
          </w:p>
          <w:p w14:paraId="43F686BE" w14:textId="77777777" w:rsidR="00B276DC" w:rsidRPr="004A1148" w:rsidRDefault="00D57F8C">
            <w:pPr>
              <w:spacing w:after="0" w:line="259" w:lineRule="auto"/>
              <w:ind w:left="12" w:firstLine="0"/>
              <w:jc w:val="both"/>
            </w:pPr>
            <w:r w:rsidRPr="004A1148">
              <w:rPr>
                <w:b/>
                <w:sz w:val="18"/>
              </w:rPr>
              <w:t>(µM)</w:t>
            </w:r>
          </w:p>
        </w:tc>
        <w:tc>
          <w:tcPr>
            <w:tcW w:w="468" w:type="dxa"/>
            <w:tcBorders>
              <w:top w:val="single" w:sz="5" w:space="0" w:color="000000"/>
              <w:left w:val="single" w:sz="6" w:space="0" w:color="000000"/>
              <w:bottom w:val="single" w:sz="5" w:space="0" w:color="000000"/>
              <w:right w:val="single" w:sz="5" w:space="0" w:color="000000"/>
            </w:tcBorders>
          </w:tcPr>
          <w:p w14:paraId="639C0249" w14:textId="77777777" w:rsidR="00B276DC" w:rsidRPr="004A1148" w:rsidRDefault="00D57F8C">
            <w:pPr>
              <w:spacing w:after="3" w:line="259" w:lineRule="auto"/>
              <w:ind w:left="62" w:firstLine="0"/>
            </w:pPr>
            <w:r w:rsidRPr="004A1148">
              <w:rPr>
                <w:b/>
                <w:sz w:val="18"/>
              </w:rPr>
              <w:t xml:space="preserve">SSE </w:t>
            </w:r>
          </w:p>
          <w:p w14:paraId="73108D7F" w14:textId="77777777" w:rsidR="00B276DC" w:rsidRPr="004A1148" w:rsidRDefault="00D57F8C">
            <w:pPr>
              <w:spacing w:after="0" w:line="259" w:lineRule="auto"/>
              <w:ind w:left="13" w:firstLine="0"/>
              <w:jc w:val="both"/>
            </w:pPr>
            <w:r w:rsidRPr="004A1148">
              <w:rPr>
                <w:b/>
                <w:sz w:val="18"/>
              </w:rPr>
              <w:t>(µM)</w:t>
            </w:r>
          </w:p>
        </w:tc>
        <w:tc>
          <w:tcPr>
            <w:tcW w:w="467" w:type="dxa"/>
            <w:tcBorders>
              <w:top w:val="single" w:sz="5" w:space="0" w:color="000000"/>
              <w:left w:val="single" w:sz="5" w:space="0" w:color="000000"/>
              <w:bottom w:val="single" w:sz="5" w:space="0" w:color="000000"/>
              <w:right w:val="single" w:sz="5" w:space="0" w:color="000000"/>
            </w:tcBorders>
          </w:tcPr>
          <w:p w14:paraId="5D113F51" w14:textId="77777777" w:rsidR="00B276DC" w:rsidRPr="004A1148" w:rsidRDefault="00D57F8C">
            <w:pPr>
              <w:spacing w:after="0" w:line="259" w:lineRule="auto"/>
              <w:ind w:left="12" w:firstLine="12"/>
            </w:pPr>
            <w:r w:rsidRPr="004A1148">
              <w:rPr>
                <w:b/>
                <w:sz w:val="18"/>
              </w:rPr>
              <w:t>MSE (µM)</w:t>
            </w:r>
          </w:p>
        </w:tc>
        <w:tc>
          <w:tcPr>
            <w:tcW w:w="553" w:type="dxa"/>
            <w:tcBorders>
              <w:top w:val="single" w:sz="5" w:space="0" w:color="000000"/>
              <w:left w:val="single" w:sz="5" w:space="0" w:color="000000"/>
              <w:bottom w:val="single" w:sz="5" w:space="0" w:color="000000"/>
              <w:right w:val="single" w:sz="5" w:space="0" w:color="000000"/>
            </w:tcBorders>
          </w:tcPr>
          <w:p w14:paraId="79B6DBC4" w14:textId="77777777" w:rsidR="00B276DC" w:rsidRPr="004A1148" w:rsidRDefault="00D57F8C">
            <w:pPr>
              <w:spacing w:after="0" w:line="259" w:lineRule="auto"/>
              <w:ind w:left="61" w:hanging="49"/>
            </w:pPr>
            <w:r w:rsidRPr="004A1148">
              <w:rPr>
                <w:b/>
                <w:sz w:val="18"/>
              </w:rPr>
              <w:t>RMSE (µM)</w:t>
            </w:r>
          </w:p>
        </w:tc>
        <w:tc>
          <w:tcPr>
            <w:tcW w:w="553" w:type="dxa"/>
            <w:tcBorders>
              <w:top w:val="single" w:sz="5" w:space="0" w:color="000000"/>
              <w:left w:val="single" w:sz="5" w:space="0" w:color="000000"/>
              <w:bottom w:val="single" w:sz="5" w:space="0" w:color="000000"/>
              <w:right w:val="single" w:sz="5" w:space="0" w:color="000000"/>
            </w:tcBorders>
          </w:tcPr>
          <w:p w14:paraId="7719EA22" w14:textId="77777777" w:rsidR="00B276DC" w:rsidRPr="004A1148" w:rsidRDefault="00D57F8C">
            <w:pPr>
              <w:spacing w:after="0" w:line="259" w:lineRule="auto"/>
              <w:ind w:left="123" w:hanging="111"/>
            </w:pPr>
            <w:r w:rsidRPr="004A1148">
              <w:rPr>
                <w:b/>
                <w:sz w:val="18"/>
              </w:rPr>
              <w:t>MSPE (%)</w:t>
            </w:r>
          </w:p>
        </w:tc>
        <w:tc>
          <w:tcPr>
            <w:tcW w:w="1032" w:type="dxa"/>
            <w:tcBorders>
              <w:top w:val="single" w:sz="5" w:space="0" w:color="000000"/>
              <w:left w:val="single" w:sz="5" w:space="0" w:color="000000"/>
              <w:bottom w:val="single" w:sz="5" w:space="0" w:color="000000"/>
              <w:right w:val="single" w:sz="5" w:space="0" w:color="000000"/>
            </w:tcBorders>
          </w:tcPr>
          <w:p w14:paraId="383804FA" w14:textId="77777777" w:rsidR="00B276DC" w:rsidRPr="004A1148" w:rsidRDefault="00D57F8C">
            <w:pPr>
              <w:spacing w:after="3" w:line="259" w:lineRule="auto"/>
              <w:ind w:left="61" w:firstLine="0"/>
            </w:pPr>
            <w:r w:rsidRPr="004A1148">
              <w:rPr>
                <w:b/>
                <w:sz w:val="18"/>
              </w:rPr>
              <w:t xml:space="preserve">regression </w:t>
            </w:r>
          </w:p>
          <w:p w14:paraId="5823B094" w14:textId="77777777" w:rsidR="00B276DC" w:rsidRPr="004A1148" w:rsidRDefault="00D57F8C">
            <w:pPr>
              <w:spacing w:after="0" w:line="259" w:lineRule="auto"/>
              <w:ind w:left="135" w:firstLine="0"/>
            </w:pPr>
            <w:r w:rsidRPr="004A1148">
              <w:rPr>
                <w:b/>
                <w:sz w:val="18"/>
              </w:rPr>
              <w:t>equation</w:t>
            </w:r>
          </w:p>
        </w:tc>
        <w:tc>
          <w:tcPr>
            <w:tcW w:w="663" w:type="dxa"/>
            <w:tcBorders>
              <w:top w:val="single" w:sz="5" w:space="0" w:color="000000"/>
              <w:left w:val="single" w:sz="5" w:space="0" w:color="000000"/>
              <w:bottom w:val="single" w:sz="5" w:space="0" w:color="000000"/>
              <w:right w:val="single" w:sz="5" w:space="0" w:color="000000"/>
            </w:tcBorders>
            <w:vAlign w:val="center"/>
          </w:tcPr>
          <w:p w14:paraId="6C39FBB9" w14:textId="77777777" w:rsidR="00B276DC" w:rsidRPr="004A1148" w:rsidRDefault="00D57F8C">
            <w:pPr>
              <w:spacing w:after="0" w:line="259" w:lineRule="auto"/>
              <w:ind w:left="12" w:firstLine="0"/>
              <w:jc w:val="both"/>
            </w:pPr>
            <w:r w:rsidRPr="004A1148">
              <w:rPr>
                <w:b/>
                <w:sz w:val="18"/>
              </w:rPr>
              <w:t>p-value</w:t>
            </w:r>
          </w:p>
        </w:tc>
        <w:tc>
          <w:tcPr>
            <w:tcW w:w="651" w:type="dxa"/>
            <w:tcBorders>
              <w:top w:val="single" w:sz="5" w:space="0" w:color="000000"/>
              <w:left w:val="single" w:sz="5" w:space="0" w:color="000000"/>
              <w:bottom w:val="single" w:sz="5" w:space="0" w:color="000000"/>
              <w:right w:val="single" w:sz="5" w:space="0" w:color="000000"/>
            </w:tcBorders>
            <w:vAlign w:val="center"/>
          </w:tcPr>
          <w:p w14:paraId="077ADFDF" w14:textId="77777777" w:rsidR="00B276DC" w:rsidRPr="004A1148" w:rsidRDefault="00D57F8C">
            <w:pPr>
              <w:spacing w:after="0" w:line="259" w:lineRule="auto"/>
              <w:ind w:left="0" w:right="42" w:firstLine="0"/>
              <w:jc w:val="center"/>
              <w:rPr>
                <w:sz w:val="18"/>
                <w:szCs w:val="18"/>
              </w:rPr>
            </w:pPr>
            <w:r w:rsidRPr="004A1148">
              <w:rPr>
                <w:b/>
                <w:sz w:val="18"/>
                <w:szCs w:val="18"/>
              </w:rPr>
              <w:t>R</w:t>
            </w:r>
            <w:r w:rsidRPr="004A1148">
              <w:rPr>
                <w:b/>
                <w:sz w:val="18"/>
                <w:szCs w:val="18"/>
                <w:vertAlign w:val="superscript"/>
              </w:rPr>
              <w:t>2</w:t>
            </w:r>
          </w:p>
        </w:tc>
      </w:tr>
      <w:tr w:rsidR="00B276DC" w:rsidRPr="004A1148" w14:paraId="35B5404D" w14:textId="77777777">
        <w:trPr>
          <w:trHeight w:val="490"/>
        </w:trPr>
        <w:tc>
          <w:tcPr>
            <w:tcW w:w="983" w:type="dxa"/>
            <w:tcBorders>
              <w:top w:val="single" w:sz="5" w:space="0" w:color="000000"/>
              <w:left w:val="single" w:sz="5" w:space="0" w:color="000000"/>
              <w:bottom w:val="single" w:sz="5" w:space="0" w:color="000000"/>
              <w:right w:val="single" w:sz="5" w:space="0" w:color="000000"/>
            </w:tcBorders>
            <w:vAlign w:val="center"/>
          </w:tcPr>
          <w:p w14:paraId="4AE944A6" w14:textId="77777777" w:rsidR="00B276DC" w:rsidRPr="004A1148" w:rsidRDefault="00D57F8C">
            <w:pPr>
              <w:spacing w:after="0" w:line="259" w:lineRule="auto"/>
              <w:ind w:left="0" w:firstLine="0"/>
              <w:jc w:val="both"/>
            </w:pPr>
            <w:r w:rsidRPr="004A1148">
              <w:rPr>
                <w:sz w:val="18"/>
              </w:rPr>
              <w:t>NO3 (SUNA)</w:t>
            </w:r>
          </w:p>
        </w:tc>
        <w:tc>
          <w:tcPr>
            <w:tcW w:w="884" w:type="dxa"/>
            <w:tcBorders>
              <w:top w:val="single" w:sz="5" w:space="0" w:color="000000"/>
              <w:left w:val="single" w:sz="5" w:space="0" w:color="000000"/>
              <w:bottom w:val="single" w:sz="5" w:space="0" w:color="000000"/>
              <w:right w:val="single" w:sz="5" w:space="0" w:color="000000"/>
            </w:tcBorders>
            <w:vAlign w:val="center"/>
          </w:tcPr>
          <w:p w14:paraId="71FB806C" w14:textId="77777777" w:rsidR="00B276DC" w:rsidRPr="004A1148" w:rsidRDefault="00D57F8C">
            <w:pPr>
              <w:spacing w:after="0" w:line="259" w:lineRule="auto"/>
              <w:ind w:left="37" w:firstLine="0"/>
              <w:jc w:val="both"/>
            </w:pPr>
            <w:r w:rsidRPr="004A1148">
              <w:rPr>
                <w:sz w:val="18"/>
              </w:rPr>
              <w:t>8/28/2019</w:t>
            </w:r>
          </w:p>
        </w:tc>
        <w:tc>
          <w:tcPr>
            <w:tcW w:w="356" w:type="dxa"/>
            <w:tcBorders>
              <w:top w:val="single" w:sz="5" w:space="0" w:color="000000"/>
              <w:left w:val="single" w:sz="5" w:space="0" w:color="000000"/>
              <w:bottom w:val="single" w:sz="5" w:space="0" w:color="000000"/>
              <w:right w:val="single" w:sz="5" w:space="0" w:color="000000"/>
            </w:tcBorders>
            <w:vAlign w:val="center"/>
          </w:tcPr>
          <w:p w14:paraId="587AB38E" w14:textId="77777777" w:rsidR="00B276DC" w:rsidRPr="004A1148" w:rsidRDefault="00D57F8C">
            <w:pPr>
              <w:spacing w:after="0" w:line="259" w:lineRule="auto"/>
              <w:ind w:left="111" w:firstLine="0"/>
            </w:pPr>
            <w:r w:rsidRPr="004A1148">
              <w:rPr>
                <w:sz w:val="18"/>
              </w:rPr>
              <w:t>5</w:t>
            </w:r>
          </w:p>
        </w:tc>
        <w:tc>
          <w:tcPr>
            <w:tcW w:w="528" w:type="dxa"/>
            <w:tcBorders>
              <w:top w:val="single" w:sz="5" w:space="0" w:color="000000"/>
              <w:left w:val="single" w:sz="5" w:space="0" w:color="000000"/>
              <w:bottom w:val="single" w:sz="5" w:space="0" w:color="000000"/>
              <w:right w:val="single" w:sz="5" w:space="0" w:color="000000"/>
            </w:tcBorders>
            <w:vAlign w:val="center"/>
          </w:tcPr>
          <w:p w14:paraId="76474665" w14:textId="77777777" w:rsidR="00B276DC" w:rsidRPr="004A1148" w:rsidRDefault="00D57F8C">
            <w:pPr>
              <w:spacing w:after="0" w:line="259" w:lineRule="auto"/>
              <w:ind w:left="123" w:firstLine="0"/>
            </w:pPr>
            <w:r w:rsidRPr="004A1148">
              <w:rPr>
                <w:sz w:val="18"/>
              </w:rPr>
              <w:t>9.4</w:t>
            </w:r>
          </w:p>
        </w:tc>
        <w:tc>
          <w:tcPr>
            <w:tcW w:w="504" w:type="dxa"/>
            <w:tcBorders>
              <w:top w:val="single" w:sz="5" w:space="0" w:color="000000"/>
              <w:left w:val="single" w:sz="5" w:space="0" w:color="000000"/>
              <w:bottom w:val="single" w:sz="5" w:space="0" w:color="000000"/>
              <w:right w:val="single" w:sz="5" w:space="0" w:color="000000"/>
            </w:tcBorders>
            <w:vAlign w:val="center"/>
          </w:tcPr>
          <w:p w14:paraId="27647B8A" w14:textId="77777777" w:rsidR="00B276DC" w:rsidRPr="004A1148" w:rsidRDefault="00D57F8C">
            <w:pPr>
              <w:spacing w:after="0" w:line="259" w:lineRule="auto"/>
              <w:ind w:left="74" w:firstLine="0"/>
            </w:pPr>
            <w:r w:rsidRPr="004A1148">
              <w:rPr>
                <w:sz w:val="18"/>
              </w:rPr>
              <w:t>16.6</w:t>
            </w:r>
          </w:p>
        </w:tc>
        <w:tc>
          <w:tcPr>
            <w:tcW w:w="699" w:type="dxa"/>
            <w:tcBorders>
              <w:top w:val="single" w:sz="5" w:space="0" w:color="000000"/>
              <w:left w:val="single" w:sz="5" w:space="0" w:color="000000"/>
              <w:bottom w:val="single" w:sz="5" w:space="0" w:color="000000"/>
              <w:right w:val="single" w:sz="6" w:space="0" w:color="000000"/>
            </w:tcBorders>
            <w:vAlign w:val="center"/>
          </w:tcPr>
          <w:p w14:paraId="54E437DF" w14:textId="77777777" w:rsidR="00B276DC" w:rsidRPr="004A1148" w:rsidRDefault="00D57F8C">
            <w:pPr>
              <w:spacing w:after="0" w:line="259" w:lineRule="auto"/>
              <w:ind w:left="0" w:right="10" w:firstLine="0"/>
              <w:jc w:val="center"/>
            </w:pPr>
            <w:r w:rsidRPr="004A1148">
              <w:rPr>
                <w:sz w:val="18"/>
              </w:rPr>
              <w:t>13.6</w:t>
            </w:r>
          </w:p>
        </w:tc>
        <w:tc>
          <w:tcPr>
            <w:tcW w:w="517" w:type="dxa"/>
            <w:tcBorders>
              <w:top w:val="single" w:sz="5" w:space="0" w:color="000000"/>
              <w:left w:val="single" w:sz="6" w:space="0" w:color="000000"/>
              <w:bottom w:val="single" w:sz="5" w:space="0" w:color="000000"/>
              <w:right w:val="single" w:sz="5" w:space="0" w:color="000000"/>
            </w:tcBorders>
            <w:vAlign w:val="center"/>
          </w:tcPr>
          <w:p w14:paraId="52403E93" w14:textId="77777777" w:rsidR="00B276DC" w:rsidRPr="004A1148" w:rsidRDefault="00D57F8C">
            <w:pPr>
              <w:spacing w:after="0" w:line="259" w:lineRule="auto"/>
              <w:ind w:left="75" w:firstLine="0"/>
            </w:pPr>
            <w:r w:rsidRPr="004A1148">
              <w:rPr>
                <w:sz w:val="18"/>
              </w:rPr>
              <w:t>13.6</w:t>
            </w:r>
          </w:p>
        </w:tc>
        <w:tc>
          <w:tcPr>
            <w:tcW w:w="478" w:type="dxa"/>
            <w:tcBorders>
              <w:top w:val="single" w:sz="5" w:space="0" w:color="000000"/>
              <w:left w:val="single" w:sz="5" w:space="0" w:color="000000"/>
              <w:bottom w:val="single" w:sz="5" w:space="0" w:color="000000"/>
              <w:right w:val="single" w:sz="6" w:space="0" w:color="000000"/>
            </w:tcBorders>
            <w:vAlign w:val="center"/>
          </w:tcPr>
          <w:p w14:paraId="05AD8212" w14:textId="77777777" w:rsidR="00B276DC" w:rsidRPr="004A1148" w:rsidRDefault="00D57F8C">
            <w:pPr>
              <w:spacing w:after="0" w:line="259" w:lineRule="auto"/>
              <w:ind w:left="61" w:firstLine="0"/>
            </w:pPr>
            <w:r w:rsidRPr="004A1148">
              <w:rPr>
                <w:sz w:val="18"/>
              </w:rPr>
              <w:t>29.7</w:t>
            </w:r>
          </w:p>
        </w:tc>
        <w:tc>
          <w:tcPr>
            <w:tcW w:w="468" w:type="dxa"/>
            <w:tcBorders>
              <w:top w:val="single" w:sz="5" w:space="0" w:color="000000"/>
              <w:left w:val="single" w:sz="6" w:space="0" w:color="000000"/>
              <w:bottom w:val="single" w:sz="5" w:space="0" w:color="000000"/>
              <w:right w:val="single" w:sz="5" w:space="0" w:color="000000"/>
            </w:tcBorders>
            <w:vAlign w:val="center"/>
          </w:tcPr>
          <w:p w14:paraId="6C6398E5" w14:textId="77777777" w:rsidR="00B276DC" w:rsidRPr="004A1148" w:rsidRDefault="00D57F8C">
            <w:pPr>
              <w:spacing w:after="0" w:line="259" w:lineRule="auto"/>
              <w:ind w:left="99" w:firstLine="0"/>
            </w:pPr>
            <w:r w:rsidRPr="004A1148">
              <w:rPr>
                <w:sz w:val="18"/>
              </w:rPr>
              <w:t>0.0</w:t>
            </w:r>
          </w:p>
        </w:tc>
        <w:tc>
          <w:tcPr>
            <w:tcW w:w="467" w:type="dxa"/>
            <w:tcBorders>
              <w:top w:val="single" w:sz="5" w:space="0" w:color="000000"/>
              <w:left w:val="single" w:sz="5" w:space="0" w:color="000000"/>
              <w:bottom w:val="single" w:sz="5" w:space="0" w:color="000000"/>
              <w:right w:val="single" w:sz="5" w:space="0" w:color="000000"/>
            </w:tcBorders>
            <w:vAlign w:val="center"/>
          </w:tcPr>
          <w:p w14:paraId="43ED7769" w14:textId="77777777" w:rsidR="00B276DC" w:rsidRPr="004A1148" w:rsidRDefault="00D57F8C">
            <w:pPr>
              <w:spacing w:after="0" w:line="259" w:lineRule="auto"/>
              <w:ind w:left="98" w:firstLine="0"/>
            </w:pPr>
            <w:r w:rsidRPr="004A1148">
              <w:rPr>
                <w:sz w:val="18"/>
              </w:rPr>
              <w:t>9.9</w:t>
            </w:r>
          </w:p>
        </w:tc>
        <w:tc>
          <w:tcPr>
            <w:tcW w:w="553" w:type="dxa"/>
            <w:tcBorders>
              <w:top w:val="single" w:sz="5" w:space="0" w:color="000000"/>
              <w:left w:val="single" w:sz="5" w:space="0" w:color="000000"/>
              <w:bottom w:val="single" w:sz="5" w:space="0" w:color="000000"/>
              <w:right w:val="single" w:sz="5" w:space="0" w:color="000000"/>
            </w:tcBorders>
            <w:vAlign w:val="center"/>
          </w:tcPr>
          <w:p w14:paraId="080AD87B" w14:textId="77777777" w:rsidR="00B276DC" w:rsidRPr="004A1148" w:rsidRDefault="00D57F8C">
            <w:pPr>
              <w:spacing w:after="0" w:line="259" w:lineRule="auto"/>
              <w:ind w:left="0" w:right="23" w:firstLine="0"/>
              <w:jc w:val="center"/>
            </w:pPr>
            <w:r w:rsidRPr="004A1148">
              <w:rPr>
                <w:sz w:val="18"/>
              </w:rPr>
              <w:t>0.1</w:t>
            </w:r>
          </w:p>
        </w:tc>
        <w:tc>
          <w:tcPr>
            <w:tcW w:w="553" w:type="dxa"/>
            <w:tcBorders>
              <w:top w:val="single" w:sz="5" w:space="0" w:color="000000"/>
              <w:left w:val="single" w:sz="5" w:space="0" w:color="000000"/>
              <w:bottom w:val="single" w:sz="5" w:space="0" w:color="000000"/>
              <w:right w:val="single" w:sz="5" w:space="0" w:color="000000"/>
            </w:tcBorders>
            <w:vAlign w:val="center"/>
          </w:tcPr>
          <w:p w14:paraId="231F984A" w14:textId="77777777" w:rsidR="00B276DC" w:rsidRPr="004A1148" w:rsidRDefault="00D57F8C">
            <w:pPr>
              <w:spacing w:after="0" w:line="259" w:lineRule="auto"/>
              <w:ind w:left="0" w:right="23" w:firstLine="0"/>
              <w:jc w:val="center"/>
            </w:pPr>
            <w:r w:rsidRPr="004A1148">
              <w:rPr>
                <w:sz w:val="18"/>
              </w:rPr>
              <w:t>1.3</w:t>
            </w:r>
          </w:p>
        </w:tc>
        <w:tc>
          <w:tcPr>
            <w:tcW w:w="1032" w:type="dxa"/>
            <w:tcBorders>
              <w:top w:val="single" w:sz="5" w:space="0" w:color="000000"/>
              <w:left w:val="single" w:sz="5" w:space="0" w:color="000000"/>
              <w:bottom w:val="single" w:sz="5" w:space="0" w:color="000000"/>
              <w:right w:val="single" w:sz="5" w:space="0" w:color="000000"/>
            </w:tcBorders>
          </w:tcPr>
          <w:p w14:paraId="0E220BCE" w14:textId="77777777" w:rsidR="00B276DC" w:rsidRPr="004A1148" w:rsidRDefault="00D57F8C">
            <w:pPr>
              <w:spacing w:after="3" w:line="259" w:lineRule="auto"/>
              <w:ind w:left="12" w:firstLine="0"/>
              <w:jc w:val="both"/>
            </w:pPr>
            <w:r w:rsidRPr="004A1148">
              <w:rPr>
                <w:sz w:val="18"/>
              </w:rPr>
              <w:t xml:space="preserve">y = 0.9333x - </w:t>
            </w:r>
          </w:p>
          <w:p w14:paraId="4B2B84CC" w14:textId="77777777" w:rsidR="00B276DC" w:rsidRPr="004A1148" w:rsidRDefault="00D57F8C">
            <w:pPr>
              <w:spacing w:after="0" w:line="259" w:lineRule="auto"/>
              <w:ind w:left="0" w:right="23" w:firstLine="0"/>
              <w:jc w:val="center"/>
            </w:pPr>
            <w:r w:rsidRPr="004A1148">
              <w:rPr>
                <w:sz w:val="18"/>
              </w:rPr>
              <w:t>3.0176</w:t>
            </w:r>
          </w:p>
        </w:tc>
        <w:tc>
          <w:tcPr>
            <w:tcW w:w="663" w:type="dxa"/>
            <w:tcBorders>
              <w:top w:val="single" w:sz="5" w:space="0" w:color="000000"/>
              <w:left w:val="single" w:sz="5" w:space="0" w:color="000000"/>
              <w:bottom w:val="single" w:sz="5" w:space="0" w:color="000000"/>
              <w:right w:val="single" w:sz="5" w:space="0" w:color="000000"/>
            </w:tcBorders>
            <w:vAlign w:val="center"/>
          </w:tcPr>
          <w:p w14:paraId="5F927155" w14:textId="77777777" w:rsidR="00B276DC" w:rsidRPr="004A1148" w:rsidRDefault="00D57F8C">
            <w:pPr>
              <w:spacing w:after="0" w:line="259" w:lineRule="auto"/>
              <w:ind w:left="25" w:firstLine="0"/>
              <w:jc w:val="both"/>
            </w:pPr>
            <w:r w:rsidRPr="004A1148">
              <w:rPr>
                <w:sz w:val="18"/>
              </w:rPr>
              <w:t>&lt;0.0001</w:t>
            </w:r>
          </w:p>
        </w:tc>
        <w:tc>
          <w:tcPr>
            <w:tcW w:w="651" w:type="dxa"/>
            <w:tcBorders>
              <w:top w:val="single" w:sz="5" w:space="0" w:color="000000"/>
              <w:left w:val="single" w:sz="5" w:space="0" w:color="000000"/>
              <w:bottom w:val="single" w:sz="5" w:space="0" w:color="000000"/>
              <w:right w:val="single" w:sz="5" w:space="0" w:color="000000"/>
            </w:tcBorders>
            <w:vAlign w:val="center"/>
          </w:tcPr>
          <w:p w14:paraId="1012A0F3" w14:textId="77777777" w:rsidR="00B276DC" w:rsidRPr="004A1148" w:rsidRDefault="00D57F8C">
            <w:pPr>
              <w:spacing w:after="0" w:line="259" w:lineRule="auto"/>
              <w:ind w:left="61" w:firstLine="0"/>
            </w:pPr>
            <w:r w:rsidRPr="004A1148">
              <w:rPr>
                <w:sz w:val="18"/>
              </w:rPr>
              <w:t>0.9969</w:t>
            </w:r>
          </w:p>
        </w:tc>
      </w:tr>
      <w:tr w:rsidR="00B276DC" w:rsidRPr="004A1148" w14:paraId="2637FD97" w14:textId="77777777">
        <w:trPr>
          <w:trHeight w:val="490"/>
        </w:trPr>
        <w:tc>
          <w:tcPr>
            <w:tcW w:w="983" w:type="dxa"/>
            <w:tcBorders>
              <w:top w:val="single" w:sz="5" w:space="0" w:color="000000"/>
              <w:left w:val="single" w:sz="5" w:space="0" w:color="000000"/>
              <w:bottom w:val="single" w:sz="5" w:space="0" w:color="000000"/>
              <w:right w:val="single" w:sz="5" w:space="0" w:color="000000"/>
            </w:tcBorders>
            <w:vAlign w:val="center"/>
          </w:tcPr>
          <w:p w14:paraId="0570A264" w14:textId="77777777" w:rsidR="00B276DC" w:rsidRPr="004A1148" w:rsidRDefault="00D57F8C">
            <w:pPr>
              <w:spacing w:after="0" w:line="259" w:lineRule="auto"/>
              <w:ind w:left="0" w:firstLine="0"/>
              <w:jc w:val="both"/>
            </w:pPr>
            <w:r w:rsidRPr="004A1148">
              <w:rPr>
                <w:sz w:val="18"/>
              </w:rPr>
              <w:t>NO3 (SUNA)</w:t>
            </w:r>
          </w:p>
        </w:tc>
        <w:tc>
          <w:tcPr>
            <w:tcW w:w="884" w:type="dxa"/>
            <w:tcBorders>
              <w:top w:val="single" w:sz="5" w:space="0" w:color="000000"/>
              <w:left w:val="single" w:sz="5" w:space="0" w:color="000000"/>
              <w:bottom w:val="single" w:sz="5" w:space="0" w:color="000000"/>
              <w:right w:val="single" w:sz="5" w:space="0" w:color="000000"/>
            </w:tcBorders>
            <w:vAlign w:val="center"/>
          </w:tcPr>
          <w:p w14:paraId="4D1296B1" w14:textId="77777777" w:rsidR="00B276DC" w:rsidRPr="004A1148" w:rsidRDefault="00D57F8C">
            <w:pPr>
              <w:spacing w:after="0" w:line="259" w:lineRule="auto"/>
              <w:ind w:left="37" w:firstLine="0"/>
              <w:jc w:val="both"/>
            </w:pPr>
            <w:r w:rsidRPr="004A1148">
              <w:rPr>
                <w:sz w:val="18"/>
              </w:rPr>
              <w:t>9/10/2019</w:t>
            </w:r>
          </w:p>
        </w:tc>
        <w:tc>
          <w:tcPr>
            <w:tcW w:w="356" w:type="dxa"/>
            <w:tcBorders>
              <w:top w:val="single" w:sz="5" w:space="0" w:color="000000"/>
              <w:left w:val="single" w:sz="5" w:space="0" w:color="000000"/>
              <w:bottom w:val="single" w:sz="5" w:space="0" w:color="000000"/>
              <w:right w:val="single" w:sz="5" w:space="0" w:color="000000"/>
            </w:tcBorders>
            <w:vAlign w:val="center"/>
          </w:tcPr>
          <w:p w14:paraId="5D2BDF43" w14:textId="77777777" w:rsidR="00B276DC" w:rsidRPr="004A1148" w:rsidRDefault="00D57F8C">
            <w:pPr>
              <w:spacing w:after="0" w:line="259" w:lineRule="auto"/>
              <w:ind w:left="61" w:firstLine="0"/>
              <w:jc w:val="both"/>
            </w:pPr>
            <w:r w:rsidRPr="004A1148">
              <w:rPr>
                <w:sz w:val="18"/>
              </w:rPr>
              <w:t>11</w:t>
            </w:r>
          </w:p>
        </w:tc>
        <w:tc>
          <w:tcPr>
            <w:tcW w:w="528" w:type="dxa"/>
            <w:tcBorders>
              <w:top w:val="single" w:sz="5" w:space="0" w:color="000000"/>
              <w:left w:val="single" w:sz="5" w:space="0" w:color="000000"/>
              <w:bottom w:val="single" w:sz="5" w:space="0" w:color="000000"/>
              <w:right w:val="single" w:sz="5" w:space="0" w:color="000000"/>
            </w:tcBorders>
            <w:vAlign w:val="center"/>
          </w:tcPr>
          <w:p w14:paraId="7720FACF" w14:textId="77777777" w:rsidR="00B276DC" w:rsidRPr="004A1148" w:rsidRDefault="00D57F8C">
            <w:pPr>
              <w:spacing w:after="0" w:line="259" w:lineRule="auto"/>
              <w:ind w:left="123" w:firstLine="0"/>
            </w:pPr>
            <w:r w:rsidRPr="004A1148">
              <w:rPr>
                <w:sz w:val="18"/>
              </w:rPr>
              <w:t>7.2</w:t>
            </w:r>
          </w:p>
        </w:tc>
        <w:tc>
          <w:tcPr>
            <w:tcW w:w="504" w:type="dxa"/>
            <w:tcBorders>
              <w:top w:val="single" w:sz="5" w:space="0" w:color="000000"/>
              <w:left w:val="single" w:sz="5" w:space="0" w:color="000000"/>
              <w:bottom w:val="single" w:sz="5" w:space="0" w:color="000000"/>
              <w:right w:val="single" w:sz="5" w:space="0" w:color="000000"/>
            </w:tcBorders>
            <w:vAlign w:val="center"/>
          </w:tcPr>
          <w:p w14:paraId="4742BF80" w14:textId="77777777" w:rsidR="00B276DC" w:rsidRPr="004A1148" w:rsidRDefault="00D57F8C">
            <w:pPr>
              <w:spacing w:after="0" w:line="259" w:lineRule="auto"/>
              <w:ind w:left="74" w:firstLine="0"/>
            </w:pPr>
            <w:r w:rsidRPr="004A1148">
              <w:rPr>
                <w:sz w:val="18"/>
              </w:rPr>
              <w:t>15.5</w:t>
            </w:r>
          </w:p>
        </w:tc>
        <w:tc>
          <w:tcPr>
            <w:tcW w:w="699" w:type="dxa"/>
            <w:tcBorders>
              <w:top w:val="single" w:sz="5" w:space="0" w:color="000000"/>
              <w:left w:val="single" w:sz="5" w:space="0" w:color="000000"/>
              <w:bottom w:val="single" w:sz="5" w:space="0" w:color="000000"/>
              <w:right w:val="single" w:sz="6" w:space="0" w:color="000000"/>
            </w:tcBorders>
            <w:vAlign w:val="center"/>
          </w:tcPr>
          <w:p w14:paraId="66B96558" w14:textId="77777777" w:rsidR="00B276DC" w:rsidRPr="004A1148" w:rsidRDefault="00D57F8C">
            <w:pPr>
              <w:spacing w:after="0" w:line="259" w:lineRule="auto"/>
              <w:ind w:left="0" w:right="10" w:firstLine="0"/>
              <w:jc w:val="center"/>
            </w:pPr>
            <w:r w:rsidRPr="004A1148">
              <w:rPr>
                <w:sz w:val="18"/>
              </w:rPr>
              <w:t>12.7</w:t>
            </w:r>
          </w:p>
        </w:tc>
        <w:tc>
          <w:tcPr>
            <w:tcW w:w="517" w:type="dxa"/>
            <w:tcBorders>
              <w:top w:val="single" w:sz="5" w:space="0" w:color="000000"/>
              <w:left w:val="single" w:sz="6" w:space="0" w:color="000000"/>
              <w:bottom w:val="single" w:sz="5" w:space="0" w:color="000000"/>
              <w:right w:val="single" w:sz="5" w:space="0" w:color="000000"/>
            </w:tcBorders>
            <w:vAlign w:val="center"/>
          </w:tcPr>
          <w:p w14:paraId="7171C49F" w14:textId="77777777" w:rsidR="00B276DC" w:rsidRPr="004A1148" w:rsidRDefault="00D57F8C">
            <w:pPr>
              <w:spacing w:after="0" w:line="259" w:lineRule="auto"/>
              <w:ind w:left="75" w:firstLine="0"/>
            </w:pPr>
            <w:r w:rsidRPr="004A1148">
              <w:rPr>
                <w:sz w:val="18"/>
              </w:rPr>
              <w:t>11.5</w:t>
            </w:r>
          </w:p>
        </w:tc>
        <w:tc>
          <w:tcPr>
            <w:tcW w:w="478" w:type="dxa"/>
            <w:tcBorders>
              <w:top w:val="single" w:sz="5" w:space="0" w:color="000000"/>
              <w:left w:val="single" w:sz="5" w:space="0" w:color="000000"/>
              <w:bottom w:val="single" w:sz="5" w:space="0" w:color="000000"/>
              <w:right w:val="single" w:sz="6" w:space="0" w:color="000000"/>
            </w:tcBorders>
            <w:vAlign w:val="center"/>
          </w:tcPr>
          <w:p w14:paraId="3490F7EE" w14:textId="77777777" w:rsidR="00B276DC" w:rsidRPr="004A1148" w:rsidRDefault="00D57F8C">
            <w:pPr>
              <w:spacing w:after="0" w:line="259" w:lineRule="auto"/>
              <w:ind w:left="12" w:firstLine="0"/>
              <w:jc w:val="both"/>
            </w:pPr>
            <w:r w:rsidRPr="004A1148">
              <w:rPr>
                <w:sz w:val="18"/>
              </w:rPr>
              <w:t>116.7</w:t>
            </w:r>
          </w:p>
        </w:tc>
        <w:tc>
          <w:tcPr>
            <w:tcW w:w="468" w:type="dxa"/>
            <w:tcBorders>
              <w:top w:val="single" w:sz="5" w:space="0" w:color="000000"/>
              <w:left w:val="single" w:sz="6" w:space="0" w:color="000000"/>
              <w:bottom w:val="single" w:sz="5" w:space="0" w:color="000000"/>
              <w:right w:val="single" w:sz="5" w:space="0" w:color="000000"/>
            </w:tcBorders>
            <w:vAlign w:val="center"/>
          </w:tcPr>
          <w:p w14:paraId="38843C27" w14:textId="77777777" w:rsidR="00B276DC" w:rsidRPr="004A1148" w:rsidRDefault="00D57F8C">
            <w:pPr>
              <w:spacing w:after="0" w:line="259" w:lineRule="auto"/>
              <w:ind w:left="99" w:firstLine="0"/>
            </w:pPr>
            <w:r w:rsidRPr="004A1148">
              <w:rPr>
                <w:sz w:val="18"/>
              </w:rPr>
              <w:t>4.5</w:t>
            </w:r>
          </w:p>
        </w:tc>
        <w:tc>
          <w:tcPr>
            <w:tcW w:w="467" w:type="dxa"/>
            <w:tcBorders>
              <w:top w:val="single" w:sz="5" w:space="0" w:color="000000"/>
              <w:left w:val="single" w:sz="5" w:space="0" w:color="000000"/>
              <w:bottom w:val="single" w:sz="5" w:space="0" w:color="000000"/>
              <w:right w:val="single" w:sz="5" w:space="0" w:color="000000"/>
            </w:tcBorders>
            <w:vAlign w:val="center"/>
          </w:tcPr>
          <w:p w14:paraId="44048414" w14:textId="77777777" w:rsidR="00B276DC" w:rsidRPr="004A1148" w:rsidRDefault="00D57F8C">
            <w:pPr>
              <w:spacing w:after="0" w:line="259" w:lineRule="auto"/>
              <w:ind w:left="98" w:firstLine="0"/>
            </w:pPr>
            <w:r w:rsidRPr="004A1148">
              <w:rPr>
                <w:sz w:val="18"/>
              </w:rPr>
              <w:t>0.5</w:t>
            </w:r>
          </w:p>
        </w:tc>
        <w:tc>
          <w:tcPr>
            <w:tcW w:w="553" w:type="dxa"/>
            <w:tcBorders>
              <w:top w:val="single" w:sz="5" w:space="0" w:color="000000"/>
              <w:left w:val="single" w:sz="5" w:space="0" w:color="000000"/>
              <w:bottom w:val="single" w:sz="5" w:space="0" w:color="000000"/>
              <w:right w:val="single" w:sz="5" w:space="0" w:color="000000"/>
            </w:tcBorders>
            <w:vAlign w:val="center"/>
          </w:tcPr>
          <w:p w14:paraId="7C4BB9EB" w14:textId="77777777" w:rsidR="00B276DC" w:rsidRPr="004A1148" w:rsidRDefault="00D57F8C">
            <w:pPr>
              <w:spacing w:after="0" w:line="259" w:lineRule="auto"/>
              <w:ind w:left="0" w:right="23" w:firstLine="0"/>
              <w:jc w:val="center"/>
            </w:pPr>
            <w:r w:rsidRPr="004A1148">
              <w:rPr>
                <w:sz w:val="18"/>
              </w:rPr>
              <w:t>0.9</w:t>
            </w:r>
          </w:p>
        </w:tc>
        <w:tc>
          <w:tcPr>
            <w:tcW w:w="553" w:type="dxa"/>
            <w:tcBorders>
              <w:top w:val="single" w:sz="5" w:space="0" w:color="000000"/>
              <w:left w:val="single" w:sz="5" w:space="0" w:color="000000"/>
              <w:bottom w:val="single" w:sz="5" w:space="0" w:color="000000"/>
              <w:right w:val="single" w:sz="5" w:space="0" w:color="000000"/>
            </w:tcBorders>
            <w:vAlign w:val="center"/>
          </w:tcPr>
          <w:p w14:paraId="00287798" w14:textId="77777777" w:rsidR="00B276DC" w:rsidRPr="004A1148" w:rsidRDefault="00D57F8C">
            <w:pPr>
              <w:spacing w:after="0" w:line="259" w:lineRule="auto"/>
              <w:ind w:left="98" w:firstLine="0"/>
            </w:pPr>
            <w:r w:rsidRPr="004A1148">
              <w:rPr>
                <w:sz w:val="18"/>
              </w:rPr>
              <w:t>11.8</w:t>
            </w:r>
          </w:p>
        </w:tc>
        <w:tc>
          <w:tcPr>
            <w:tcW w:w="1032" w:type="dxa"/>
            <w:tcBorders>
              <w:top w:val="single" w:sz="5" w:space="0" w:color="000000"/>
              <w:left w:val="single" w:sz="5" w:space="0" w:color="000000"/>
              <w:bottom w:val="single" w:sz="5" w:space="0" w:color="000000"/>
              <w:right w:val="single" w:sz="5" w:space="0" w:color="000000"/>
            </w:tcBorders>
          </w:tcPr>
          <w:p w14:paraId="2B80A237" w14:textId="77777777" w:rsidR="00B276DC" w:rsidRPr="004A1148" w:rsidRDefault="00D57F8C">
            <w:pPr>
              <w:spacing w:after="3" w:line="259" w:lineRule="auto"/>
              <w:ind w:left="12" w:firstLine="0"/>
              <w:jc w:val="both"/>
            </w:pPr>
            <w:r w:rsidRPr="004A1148">
              <w:rPr>
                <w:sz w:val="18"/>
              </w:rPr>
              <w:t xml:space="preserve">y = 0.8986x - </w:t>
            </w:r>
          </w:p>
          <w:p w14:paraId="00DBE0F7" w14:textId="77777777" w:rsidR="00B276DC" w:rsidRPr="004A1148" w:rsidRDefault="00D57F8C">
            <w:pPr>
              <w:spacing w:after="0" w:line="259" w:lineRule="auto"/>
              <w:ind w:left="0" w:right="23" w:firstLine="0"/>
              <w:jc w:val="center"/>
            </w:pPr>
            <w:r w:rsidRPr="004A1148">
              <w:rPr>
                <w:sz w:val="18"/>
              </w:rPr>
              <w:t>2.9658</w:t>
            </w:r>
          </w:p>
        </w:tc>
        <w:tc>
          <w:tcPr>
            <w:tcW w:w="663" w:type="dxa"/>
            <w:tcBorders>
              <w:top w:val="single" w:sz="5" w:space="0" w:color="000000"/>
              <w:left w:val="single" w:sz="5" w:space="0" w:color="000000"/>
              <w:bottom w:val="single" w:sz="5" w:space="0" w:color="000000"/>
              <w:right w:val="single" w:sz="5" w:space="0" w:color="000000"/>
            </w:tcBorders>
            <w:vAlign w:val="center"/>
          </w:tcPr>
          <w:p w14:paraId="0E522273" w14:textId="77777777" w:rsidR="00B276DC" w:rsidRPr="004A1148" w:rsidRDefault="00D57F8C">
            <w:pPr>
              <w:spacing w:after="0" w:line="259" w:lineRule="auto"/>
              <w:ind w:left="25" w:firstLine="0"/>
              <w:jc w:val="both"/>
            </w:pPr>
            <w:r w:rsidRPr="004A1148">
              <w:rPr>
                <w:sz w:val="18"/>
              </w:rPr>
              <w:t>&lt;0.0001</w:t>
            </w:r>
          </w:p>
        </w:tc>
        <w:tc>
          <w:tcPr>
            <w:tcW w:w="651" w:type="dxa"/>
            <w:tcBorders>
              <w:top w:val="single" w:sz="5" w:space="0" w:color="000000"/>
              <w:left w:val="single" w:sz="5" w:space="0" w:color="000000"/>
              <w:bottom w:val="single" w:sz="5" w:space="0" w:color="000000"/>
              <w:right w:val="single" w:sz="5" w:space="0" w:color="000000"/>
            </w:tcBorders>
            <w:vAlign w:val="center"/>
          </w:tcPr>
          <w:p w14:paraId="00004A88" w14:textId="77777777" w:rsidR="00B276DC" w:rsidRPr="004A1148" w:rsidRDefault="00D57F8C">
            <w:pPr>
              <w:spacing w:after="0" w:line="259" w:lineRule="auto"/>
              <w:ind w:left="61" w:firstLine="0"/>
            </w:pPr>
            <w:r w:rsidRPr="004A1148">
              <w:rPr>
                <w:sz w:val="18"/>
              </w:rPr>
              <w:t>0.9178</w:t>
            </w:r>
          </w:p>
        </w:tc>
      </w:tr>
      <w:tr w:rsidR="00B276DC" w:rsidRPr="004A1148" w14:paraId="18EBAD96" w14:textId="77777777">
        <w:trPr>
          <w:trHeight w:val="490"/>
        </w:trPr>
        <w:tc>
          <w:tcPr>
            <w:tcW w:w="983" w:type="dxa"/>
            <w:tcBorders>
              <w:top w:val="single" w:sz="5" w:space="0" w:color="000000"/>
              <w:left w:val="single" w:sz="5" w:space="0" w:color="000000"/>
              <w:bottom w:val="single" w:sz="5" w:space="0" w:color="000000"/>
              <w:right w:val="single" w:sz="5" w:space="0" w:color="000000"/>
            </w:tcBorders>
            <w:vAlign w:val="center"/>
          </w:tcPr>
          <w:p w14:paraId="4D085233" w14:textId="77777777" w:rsidR="00B276DC" w:rsidRPr="004A1148" w:rsidRDefault="00D57F8C">
            <w:pPr>
              <w:spacing w:after="0" w:line="259" w:lineRule="auto"/>
              <w:ind w:left="0" w:firstLine="0"/>
              <w:jc w:val="both"/>
            </w:pPr>
            <w:r w:rsidRPr="004A1148">
              <w:rPr>
                <w:sz w:val="18"/>
              </w:rPr>
              <w:t>NO3 (SUNA)</w:t>
            </w:r>
          </w:p>
        </w:tc>
        <w:tc>
          <w:tcPr>
            <w:tcW w:w="884" w:type="dxa"/>
            <w:tcBorders>
              <w:top w:val="single" w:sz="5" w:space="0" w:color="000000"/>
              <w:left w:val="single" w:sz="5" w:space="0" w:color="000000"/>
              <w:bottom w:val="single" w:sz="5" w:space="0" w:color="000000"/>
              <w:right w:val="single" w:sz="5" w:space="0" w:color="000000"/>
            </w:tcBorders>
            <w:vAlign w:val="center"/>
          </w:tcPr>
          <w:p w14:paraId="53465152" w14:textId="77777777" w:rsidR="00B276DC" w:rsidRPr="004A1148" w:rsidRDefault="00D57F8C">
            <w:pPr>
              <w:spacing w:after="0" w:line="259" w:lineRule="auto"/>
              <w:ind w:left="37" w:firstLine="0"/>
              <w:jc w:val="both"/>
            </w:pPr>
            <w:r w:rsidRPr="004A1148">
              <w:rPr>
                <w:sz w:val="18"/>
              </w:rPr>
              <w:t>9/11/2019</w:t>
            </w:r>
          </w:p>
        </w:tc>
        <w:tc>
          <w:tcPr>
            <w:tcW w:w="356" w:type="dxa"/>
            <w:tcBorders>
              <w:top w:val="single" w:sz="5" w:space="0" w:color="000000"/>
              <w:left w:val="single" w:sz="5" w:space="0" w:color="000000"/>
              <w:bottom w:val="single" w:sz="5" w:space="0" w:color="000000"/>
              <w:right w:val="single" w:sz="5" w:space="0" w:color="000000"/>
            </w:tcBorders>
            <w:vAlign w:val="center"/>
          </w:tcPr>
          <w:p w14:paraId="4BAA9067" w14:textId="77777777" w:rsidR="00B276DC" w:rsidRPr="004A1148" w:rsidRDefault="00D57F8C">
            <w:pPr>
              <w:spacing w:after="0" w:line="259" w:lineRule="auto"/>
              <w:ind w:left="110" w:firstLine="0"/>
            </w:pPr>
            <w:r w:rsidRPr="004A1148">
              <w:rPr>
                <w:sz w:val="18"/>
              </w:rPr>
              <w:t>8</w:t>
            </w:r>
          </w:p>
        </w:tc>
        <w:tc>
          <w:tcPr>
            <w:tcW w:w="528" w:type="dxa"/>
            <w:tcBorders>
              <w:top w:val="single" w:sz="5" w:space="0" w:color="000000"/>
              <w:left w:val="single" w:sz="5" w:space="0" w:color="000000"/>
              <w:bottom w:val="single" w:sz="5" w:space="0" w:color="000000"/>
              <w:right w:val="single" w:sz="5" w:space="0" w:color="000000"/>
            </w:tcBorders>
            <w:vAlign w:val="center"/>
          </w:tcPr>
          <w:p w14:paraId="6972A28C" w14:textId="77777777" w:rsidR="00B276DC" w:rsidRPr="004A1148" w:rsidRDefault="00D57F8C">
            <w:pPr>
              <w:spacing w:after="0" w:line="259" w:lineRule="auto"/>
              <w:ind w:left="123" w:firstLine="0"/>
            </w:pPr>
            <w:r w:rsidRPr="004A1148">
              <w:rPr>
                <w:sz w:val="18"/>
              </w:rPr>
              <w:t>4.8</w:t>
            </w:r>
          </w:p>
        </w:tc>
        <w:tc>
          <w:tcPr>
            <w:tcW w:w="504" w:type="dxa"/>
            <w:tcBorders>
              <w:top w:val="single" w:sz="5" w:space="0" w:color="000000"/>
              <w:left w:val="single" w:sz="5" w:space="0" w:color="000000"/>
              <w:bottom w:val="single" w:sz="5" w:space="0" w:color="000000"/>
              <w:right w:val="single" w:sz="5" w:space="0" w:color="000000"/>
            </w:tcBorders>
            <w:vAlign w:val="center"/>
          </w:tcPr>
          <w:p w14:paraId="6DD2BA9C" w14:textId="77777777" w:rsidR="00B276DC" w:rsidRPr="004A1148" w:rsidRDefault="00D57F8C">
            <w:pPr>
              <w:spacing w:after="0" w:line="259" w:lineRule="auto"/>
              <w:ind w:left="74" w:firstLine="0"/>
            </w:pPr>
            <w:r w:rsidRPr="004A1148">
              <w:rPr>
                <w:sz w:val="18"/>
              </w:rPr>
              <w:t>16.4</w:t>
            </w:r>
          </w:p>
        </w:tc>
        <w:tc>
          <w:tcPr>
            <w:tcW w:w="699" w:type="dxa"/>
            <w:tcBorders>
              <w:top w:val="single" w:sz="5" w:space="0" w:color="000000"/>
              <w:left w:val="single" w:sz="5" w:space="0" w:color="000000"/>
              <w:bottom w:val="single" w:sz="5" w:space="0" w:color="000000"/>
              <w:right w:val="single" w:sz="6" w:space="0" w:color="000000"/>
            </w:tcBorders>
            <w:vAlign w:val="center"/>
          </w:tcPr>
          <w:p w14:paraId="484DE623" w14:textId="77777777" w:rsidR="00B276DC" w:rsidRPr="004A1148" w:rsidRDefault="00D57F8C">
            <w:pPr>
              <w:spacing w:after="0" w:line="259" w:lineRule="auto"/>
              <w:ind w:left="0" w:right="22" w:firstLine="0"/>
              <w:jc w:val="center"/>
            </w:pPr>
            <w:r w:rsidRPr="004A1148">
              <w:rPr>
                <w:sz w:val="18"/>
              </w:rPr>
              <w:t>8.1</w:t>
            </w:r>
          </w:p>
        </w:tc>
        <w:tc>
          <w:tcPr>
            <w:tcW w:w="517" w:type="dxa"/>
            <w:tcBorders>
              <w:top w:val="single" w:sz="5" w:space="0" w:color="000000"/>
              <w:left w:val="single" w:sz="6" w:space="0" w:color="000000"/>
              <w:bottom w:val="single" w:sz="5" w:space="0" w:color="000000"/>
              <w:right w:val="single" w:sz="5" w:space="0" w:color="000000"/>
            </w:tcBorders>
            <w:vAlign w:val="center"/>
          </w:tcPr>
          <w:p w14:paraId="6F82A31B" w14:textId="77777777" w:rsidR="00B276DC" w:rsidRPr="004A1148" w:rsidRDefault="00D57F8C">
            <w:pPr>
              <w:spacing w:after="0" w:line="259" w:lineRule="auto"/>
              <w:ind w:left="124" w:firstLine="0"/>
            </w:pPr>
            <w:r w:rsidRPr="004A1148">
              <w:rPr>
                <w:sz w:val="18"/>
              </w:rPr>
              <w:t>9.7</w:t>
            </w:r>
          </w:p>
        </w:tc>
        <w:tc>
          <w:tcPr>
            <w:tcW w:w="478" w:type="dxa"/>
            <w:tcBorders>
              <w:top w:val="single" w:sz="5" w:space="0" w:color="000000"/>
              <w:left w:val="single" w:sz="5" w:space="0" w:color="000000"/>
              <w:bottom w:val="single" w:sz="5" w:space="0" w:color="000000"/>
              <w:right w:val="single" w:sz="6" w:space="0" w:color="000000"/>
            </w:tcBorders>
            <w:vAlign w:val="center"/>
          </w:tcPr>
          <w:p w14:paraId="01B82D36" w14:textId="77777777" w:rsidR="00B276DC" w:rsidRPr="004A1148" w:rsidRDefault="00D57F8C">
            <w:pPr>
              <w:spacing w:after="0" w:line="259" w:lineRule="auto"/>
              <w:ind w:left="12" w:firstLine="0"/>
              <w:jc w:val="both"/>
            </w:pPr>
            <w:r w:rsidRPr="004A1148">
              <w:rPr>
                <w:sz w:val="18"/>
              </w:rPr>
              <w:t>114.6</w:t>
            </w:r>
          </w:p>
        </w:tc>
        <w:tc>
          <w:tcPr>
            <w:tcW w:w="468" w:type="dxa"/>
            <w:tcBorders>
              <w:top w:val="single" w:sz="5" w:space="0" w:color="000000"/>
              <w:left w:val="single" w:sz="6" w:space="0" w:color="000000"/>
              <w:bottom w:val="single" w:sz="5" w:space="0" w:color="000000"/>
              <w:right w:val="single" w:sz="5" w:space="0" w:color="000000"/>
            </w:tcBorders>
            <w:vAlign w:val="center"/>
          </w:tcPr>
          <w:p w14:paraId="11AB2166" w14:textId="77777777" w:rsidR="00B276DC" w:rsidRPr="004A1148" w:rsidRDefault="00D57F8C">
            <w:pPr>
              <w:spacing w:after="0" w:line="259" w:lineRule="auto"/>
              <w:ind w:left="99" w:firstLine="0"/>
            </w:pPr>
            <w:r w:rsidRPr="004A1148">
              <w:rPr>
                <w:sz w:val="18"/>
              </w:rPr>
              <w:t>3.0</w:t>
            </w:r>
          </w:p>
        </w:tc>
        <w:tc>
          <w:tcPr>
            <w:tcW w:w="467" w:type="dxa"/>
            <w:tcBorders>
              <w:top w:val="single" w:sz="5" w:space="0" w:color="000000"/>
              <w:left w:val="single" w:sz="5" w:space="0" w:color="000000"/>
              <w:bottom w:val="single" w:sz="5" w:space="0" w:color="000000"/>
              <w:right w:val="single" w:sz="5" w:space="0" w:color="000000"/>
            </w:tcBorders>
            <w:vAlign w:val="center"/>
          </w:tcPr>
          <w:p w14:paraId="6D2D030C" w14:textId="77777777" w:rsidR="00B276DC" w:rsidRPr="004A1148" w:rsidRDefault="00D57F8C">
            <w:pPr>
              <w:spacing w:after="0" w:line="259" w:lineRule="auto"/>
              <w:ind w:left="98" w:firstLine="0"/>
            </w:pPr>
            <w:r w:rsidRPr="004A1148">
              <w:rPr>
                <w:sz w:val="18"/>
              </w:rPr>
              <w:t>0.5</w:t>
            </w:r>
          </w:p>
        </w:tc>
        <w:tc>
          <w:tcPr>
            <w:tcW w:w="553" w:type="dxa"/>
            <w:tcBorders>
              <w:top w:val="single" w:sz="5" w:space="0" w:color="000000"/>
              <w:left w:val="single" w:sz="5" w:space="0" w:color="000000"/>
              <w:bottom w:val="single" w:sz="5" w:space="0" w:color="000000"/>
              <w:right w:val="single" w:sz="5" w:space="0" w:color="000000"/>
            </w:tcBorders>
            <w:vAlign w:val="center"/>
          </w:tcPr>
          <w:p w14:paraId="72DACEA7" w14:textId="77777777" w:rsidR="00B276DC" w:rsidRPr="004A1148" w:rsidRDefault="00D57F8C">
            <w:pPr>
              <w:spacing w:after="0" w:line="259" w:lineRule="auto"/>
              <w:ind w:left="0" w:right="23" w:firstLine="0"/>
              <w:jc w:val="center"/>
            </w:pPr>
            <w:r w:rsidRPr="004A1148">
              <w:rPr>
                <w:sz w:val="18"/>
              </w:rPr>
              <w:t>1.1</w:t>
            </w:r>
          </w:p>
        </w:tc>
        <w:tc>
          <w:tcPr>
            <w:tcW w:w="553" w:type="dxa"/>
            <w:tcBorders>
              <w:top w:val="single" w:sz="5" w:space="0" w:color="000000"/>
              <w:left w:val="single" w:sz="5" w:space="0" w:color="000000"/>
              <w:bottom w:val="single" w:sz="5" w:space="0" w:color="000000"/>
              <w:right w:val="single" w:sz="5" w:space="0" w:color="000000"/>
            </w:tcBorders>
            <w:vAlign w:val="center"/>
          </w:tcPr>
          <w:p w14:paraId="4F36E111" w14:textId="77777777" w:rsidR="00B276DC" w:rsidRPr="004A1148" w:rsidRDefault="00D57F8C">
            <w:pPr>
              <w:spacing w:after="0" w:line="259" w:lineRule="auto"/>
              <w:ind w:left="98" w:firstLine="0"/>
            </w:pPr>
            <w:r w:rsidRPr="004A1148">
              <w:rPr>
                <w:sz w:val="18"/>
              </w:rPr>
              <w:t>14.8</w:t>
            </w:r>
          </w:p>
        </w:tc>
        <w:tc>
          <w:tcPr>
            <w:tcW w:w="1032" w:type="dxa"/>
            <w:tcBorders>
              <w:top w:val="single" w:sz="5" w:space="0" w:color="000000"/>
              <w:left w:val="single" w:sz="5" w:space="0" w:color="000000"/>
              <w:bottom w:val="single" w:sz="5" w:space="0" w:color="000000"/>
              <w:right w:val="single" w:sz="5" w:space="0" w:color="000000"/>
            </w:tcBorders>
          </w:tcPr>
          <w:p w14:paraId="07652185" w14:textId="77777777" w:rsidR="00B276DC" w:rsidRPr="004A1148" w:rsidRDefault="00D57F8C">
            <w:pPr>
              <w:spacing w:after="3" w:line="259" w:lineRule="auto"/>
              <w:ind w:left="12" w:firstLine="0"/>
              <w:jc w:val="both"/>
            </w:pPr>
            <w:r w:rsidRPr="004A1148">
              <w:rPr>
                <w:sz w:val="18"/>
              </w:rPr>
              <w:t xml:space="preserve">y = 0.9953x - </w:t>
            </w:r>
          </w:p>
          <w:p w14:paraId="4DC3A4B6" w14:textId="77777777" w:rsidR="00B276DC" w:rsidRPr="004A1148" w:rsidRDefault="00D57F8C">
            <w:pPr>
              <w:spacing w:after="0" w:line="259" w:lineRule="auto"/>
              <w:ind w:left="0" w:right="23" w:firstLine="0"/>
              <w:jc w:val="center"/>
            </w:pPr>
            <w:r w:rsidRPr="004A1148">
              <w:rPr>
                <w:sz w:val="18"/>
              </w:rPr>
              <w:t>3.7078</w:t>
            </w:r>
          </w:p>
        </w:tc>
        <w:tc>
          <w:tcPr>
            <w:tcW w:w="663" w:type="dxa"/>
            <w:tcBorders>
              <w:top w:val="single" w:sz="5" w:space="0" w:color="000000"/>
              <w:left w:val="single" w:sz="5" w:space="0" w:color="000000"/>
              <w:bottom w:val="single" w:sz="5" w:space="0" w:color="000000"/>
              <w:right w:val="single" w:sz="5" w:space="0" w:color="000000"/>
            </w:tcBorders>
            <w:vAlign w:val="center"/>
          </w:tcPr>
          <w:p w14:paraId="6592B933" w14:textId="77777777" w:rsidR="00B276DC" w:rsidRPr="004A1148" w:rsidRDefault="00D57F8C">
            <w:pPr>
              <w:spacing w:after="0" w:line="259" w:lineRule="auto"/>
              <w:ind w:left="25" w:firstLine="0"/>
              <w:jc w:val="both"/>
            </w:pPr>
            <w:r w:rsidRPr="004A1148">
              <w:rPr>
                <w:sz w:val="18"/>
              </w:rPr>
              <w:t>&lt;0.0001</w:t>
            </w:r>
          </w:p>
        </w:tc>
        <w:tc>
          <w:tcPr>
            <w:tcW w:w="651" w:type="dxa"/>
            <w:tcBorders>
              <w:top w:val="single" w:sz="5" w:space="0" w:color="000000"/>
              <w:left w:val="single" w:sz="5" w:space="0" w:color="000000"/>
              <w:bottom w:val="single" w:sz="5" w:space="0" w:color="000000"/>
              <w:right w:val="single" w:sz="5" w:space="0" w:color="000000"/>
            </w:tcBorders>
            <w:vAlign w:val="center"/>
          </w:tcPr>
          <w:p w14:paraId="48D7C69F" w14:textId="77777777" w:rsidR="00B276DC" w:rsidRPr="004A1148" w:rsidRDefault="00D57F8C">
            <w:pPr>
              <w:spacing w:after="0" w:line="259" w:lineRule="auto"/>
              <w:ind w:left="12" w:firstLine="0"/>
              <w:jc w:val="both"/>
            </w:pPr>
            <w:r w:rsidRPr="004A1148">
              <w:rPr>
                <w:sz w:val="18"/>
              </w:rPr>
              <w:t>0.9365*</w:t>
            </w:r>
          </w:p>
        </w:tc>
      </w:tr>
      <w:tr w:rsidR="00B276DC" w:rsidRPr="004A1148" w14:paraId="360945FC" w14:textId="77777777">
        <w:trPr>
          <w:trHeight w:val="490"/>
        </w:trPr>
        <w:tc>
          <w:tcPr>
            <w:tcW w:w="983" w:type="dxa"/>
            <w:tcBorders>
              <w:top w:val="single" w:sz="5" w:space="0" w:color="000000"/>
              <w:left w:val="single" w:sz="5" w:space="0" w:color="000000"/>
              <w:bottom w:val="single" w:sz="5" w:space="0" w:color="000000"/>
              <w:right w:val="single" w:sz="5" w:space="0" w:color="000000"/>
            </w:tcBorders>
            <w:vAlign w:val="center"/>
          </w:tcPr>
          <w:p w14:paraId="246F1595" w14:textId="77777777" w:rsidR="00B276DC" w:rsidRPr="004A1148" w:rsidRDefault="00D57F8C">
            <w:pPr>
              <w:spacing w:after="0" w:line="259" w:lineRule="auto"/>
              <w:ind w:left="0" w:firstLine="0"/>
              <w:jc w:val="both"/>
            </w:pPr>
            <w:r w:rsidRPr="004A1148">
              <w:rPr>
                <w:sz w:val="18"/>
              </w:rPr>
              <w:t>NO3 (SUNA)</w:t>
            </w:r>
          </w:p>
        </w:tc>
        <w:tc>
          <w:tcPr>
            <w:tcW w:w="884" w:type="dxa"/>
            <w:tcBorders>
              <w:top w:val="single" w:sz="5" w:space="0" w:color="000000"/>
              <w:left w:val="single" w:sz="5" w:space="0" w:color="000000"/>
              <w:bottom w:val="single" w:sz="5" w:space="0" w:color="000000"/>
              <w:right w:val="single" w:sz="5" w:space="0" w:color="000000"/>
            </w:tcBorders>
            <w:vAlign w:val="center"/>
          </w:tcPr>
          <w:p w14:paraId="549BB08C" w14:textId="77777777" w:rsidR="00B276DC" w:rsidRPr="004A1148" w:rsidRDefault="00D57F8C">
            <w:pPr>
              <w:spacing w:after="0" w:line="259" w:lineRule="auto"/>
              <w:ind w:left="37" w:firstLine="0"/>
              <w:jc w:val="both"/>
            </w:pPr>
            <w:r w:rsidRPr="004A1148">
              <w:rPr>
                <w:sz w:val="18"/>
              </w:rPr>
              <w:t>9/12/2019</w:t>
            </w:r>
          </w:p>
        </w:tc>
        <w:tc>
          <w:tcPr>
            <w:tcW w:w="356" w:type="dxa"/>
            <w:tcBorders>
              <w:top w:val="single" w:sz="5" w:space="0" w:color="000000"/>
              <w:left w:val="single" w:sz="5" w:space="0" w:color="000000"/>
              <w:bottom w:val="single" w:sz="5" w:space="0" w:color="000000"/>
              <w:right w:val="single" w:sz="5" w:space="0" w:color="000000"/>
            </w:tcBorders>
            <w:vAlign w:val="center"/>
          </w:tcPr>
          <w:p w14:paraId="73D0C645" w14:textId="77777777" w:rsidR="00B276DC" w:rsidRPr="004A1148" w:rsidRDefault="00D57F8C">
            <w:pPr>
              <w:spacing w:after="0" w:line="259" w:lineRule="auto"/>
              <w:ind w:left="61" w:firstLine="0"/>
              <w:jc w:val="both"/>
            </w:pPr>
            <w:r w:rsidRPr="004A1148">
              <w:rPr>
                <w:sz w:val="18"/>
              </w:rPr>
              <w:t>10</w:t>
            </w:r>
          </w:p>
        </w:tc>
        <w:tc>
          <w:tcPr>
            <w:tcW w:w="528" w:type="dxa"/>
            <w:tcBorders>
              <w:top w:val="single" w:sz="5" w:space="0" w:color="000000"/>
              <w:left w:val="single" w:sz="5" w:space="0" w:color="000000"/>
              <w:bottom w:val="single" w:sz="5" w:space="0" w:color="000000"/>
              <w:right w:val="single" w:sz="5" w:space="0" w:color="000000"/>
            </w:tcBorders>
            <w:vAlign w:val="center"/>
          </w:tcPr>
          <w:p w14:paraId="2B5335FC" w14:textId="77777777" w:rsidR="00B276DC" w:rsidRPr="004A1148" w:rsidRDefault="00D57F8C">
            <w:pPr>
              <w:spacing w:after="0" w:line="259" w:lineRule="auto"/>
              <w:ind w:left="123" w:firstLine="0"/>
            </w:pPr>
            <w:r w:rsidRPr="004A1148">
              <w:rPr>
                <w:sz w:val="18"/>
              </w:rPr>
              <w:t>7.3</w:t>
            </w:r>
          </w:p>
        </w:tc>
        <w:tc>
          <w:tcPr>
            <w:tcW w:w="504" w:type="dxa"/>
            <w:tcBorders>
              <w:top w:val="single" w:sz="5" w:space="0" w:color="000000"/>
              <w:left w:val="single" w:sz="5" w:space="0" w:color="000000"/>
              <w:bottom w:val="single" w:sz="5" w:space="0" w:color="000000"/>
              <w:right w:val="single" w:sz="5" w:space="0" w:color="000000"/>
            </w:tcBorders>
            <w:vAlign w:val="center"/>
          </w:tcPr>
          <w:p w14:paraId="324AD432" w14:textId="77777777" w:rsidR="00B276DC" w:rsidRPr="004A1148" w:rsidRDefault="00D57F8C">
            <w:pPr>
              <w:spacing w:after="0" w:line="259" w:lineRule="auto"/>
              <w:ind w:left="74" w:firstLine="0"/>
            </w:pPr>
            <w:r w:rsidRPr="004A1148">
              <w:rPr>
                <w:sz w:val="18"/>
              </w:rPr>
              <w:t>15.5</w:t>
            </w:r>
          </w:p>
        </w:tc>
        <w:tc>
          <w:tcPr>
            <w:tcW w:w="699" w:type="dxa"/>
            <w:tcBorders>
              <w:top w:val="single" w:sz="5" w:space="0" w:color="000000"/>
              <w:left w:val="single" w:sz="5" w:space="0" w:color="000000"/>
              <w:bottom w:val="single" w:sz="5" w:space="0" w:color="000000"/>
              <w:right w:val="single" w:sz="6" w:space="0" w:color="000000"/>
            </w:tcBorders>
            <w:vAlign w:val="center"/>
          </w:tcPr>
          <w:p w14:paraId="7BBB5F39" w14:textId="77777777" w:rsidR="00B276DC" w:rsidRPr="004A1148" w:rsidRDefault="00D57F8C">
            <w:pPr>
              <w:spacing w:after="0" w:line="259" w:lineRule="auto"/>
              <w:ind w:left="0" w:right="10" w:firstLine="0"/>
              <w:jc w:val="center"/>
            </w:pPr>
            <w:r w:rsidRPr="004A1148">
              <w:rPr>
                <w:sz w:val="18"/>
              </w:rPr>
              <w:t>13.9</w:t>
            </w:r>
          </w:p>
        </w:tc>
        <w:tc>
          <w:tcPr>
            <w:tcW w:w="517" w:type="dxa"/>
            <w:tcBorders>
              <w:top w:val="single" w:sz="5" w:space="0" w:color="000000"/>
              <w:left w:val="single" w:sz="6" w:space="0" w:color="000000"/>
              <w:bottom w:val="single" w:sz="5" w:space="0" w:color="000000"/>
              <w:right w:val="single" w:sz="5" w:space="0" w:color="000000"/>
            </w:tcBorders>
            <w:vAlign w:val="center"/>
          </w:tcPr>
          <w:p w14:paraId="5E40FE79" w14:textId="77777777" w:rsidR="00B276DC" w:rsidRPr="004A1148" w:rsidRDefault="00D57F8C">
            <w:pPr>
              <w:spacing w:after="0" w:line="259" w:lineRule="auto"/>
              <w:ind w:left="75" w:firstLine="0"/>
            </w:pPr>
            <w:r w:rsidRPr="004A1148">
              <w:rPr>
                <w:sz w:val="18"/>
              </w:rPr>
              <w:t>12.7</w:t>
            </w:r>
          </w:p>
        </w:tc>
        <w:tc>
          <w:tcPr>
            <w:tcW w:w="478" w:type="dxa"/>
            <w:tcBorders>
              <w:top w:val="single" w:sz="5" w:space="0" w:color="000000"/>
              <w:left w:val="single" w:sz="5" w:space="0" w:color="000000"/>
              <w:bottom w:val="single" w:sz="5" w:space="0" w:color="000000"/>
              <w:right w:val="single" w:sz="6" w:space="0" w:color="000000"/>
            </w:tcBorders>
            <w:vAlign w:val="center"/>
          </w:tcPr>
          <w:p w14:paraId="7E6F5007" w14:textId="77777777" w:rsidR="00B276DC" w:rsidRPr="004A1148" w:rsidRDefault="00D57F8C">
            <w:pPr>
              <w:spacing w:after="0" w:line="259" w:lineRule="auto"/>
              <w:ind w:left="61" w:firstLine="0"/>
            </w:pPr>
            <w:r w:rsidRPr="004A1148">
              <w:rPr>
                <w:sz w:val="18"/>
              </w:rPr>
              <w:t>79.8</w:t>
            </w:r>
          </w:p>
        </w:tc>
        <w:tc>
          <w:tcPr>
            <w:tcW w:w="468" w:type="dxa"/>
            <w:tcBorders>
              <w:top w:val="single" w:sz="5" w:space="0" w:color="000000"/>
              <w:left w:val="single" w:sz="6" w:space="0" w:color="000000"/>
              <w:bottom w:val="single" w:sz="5" w:space="0" w:color="000000"/>
              <w:right w:val="single" w:sz="5" w:space="0" w:color="000000"/>
            </w:tcBorders>
            <w:vAlign w:val="center"/>
          </w:tcPr>
          <w:p w14:paraId="0F5E2836" w14:textId="77777777" w:rsidR="00B276DC" w:rsidRPr="004A1148" w:rsidRDefault="00D57F8C">
            <w:pPr>
              <w:spacing w:after="0" w:line="259" w:lineRule="auto"/>
              <w:ind w:left="99" w:firstLine="0"/>
            </w:pPr>
            <w:r w:rsidRPr="004A1148">
              <w:rPr>
                <w:sz w:val="18"/>
              </w:rPr>
              <w:t>2.1</w:t>
            </w:r>
          </w:p>
        </w:tc>
        <w:tc>
          <w:tcPr>
            <w:tcW w:w="467" w:type="dxa"/>
            <w:tcBorders>
              <w:top w:val="single" w:sz="5" w:space="0" w:color="000000"/>
              <w:left w:val="single" w:sz="5" w:space="0" w:color="000000"/>
              <w:bottom w:val="single" w:sz="5" w:space="0" w:color="000000"/>
              <w:right w:val="single" w:sz="5" w:space="0" w:color="000000"/>
            </w:tcBorders>
            <w:vAlign w:val="center"/>
          </w:tcPr>
          <w:p w14:paraId="2A396946" w14:textId="77777777" w:rsidR="00B276DC" w:rsidRPr="004A1148" w:rsidRDefault="00D57F8C">
            <w:pPr>
              <w:spacing w:after="0" w:line="259" w:lineRule="auto"/>
              <w:ind w:left="49" w:firstLine="0"/>
              <w:jc w:val="both"/>
            </w:pPr>
            <w:r w:rsidRPr="004A1148">
              <w:rPr>
                <w:sz w:val="18"/>
              </w:rPr>
              <w:t>10.0</w:t>
            </w:r>
          </w:p>
        </w:tc>
        <w:tc>
          <w:tcPr>
            <w:tcW w:w="553" w:type="dxa"/>
            <w:tcBorders>
              <w:top w:val="single" w:sz="5" w:space="0" w:color="000000"/>
              <w:left w:val="single" w:sz="5" w:space="0" w:color="000000"/>
              <w:bottom w:val="single" w:sz="5" w:space="0" w:color="000000"/>
              <w:right w:val="single" w:sz="5" w:space="0" w:color="000000"/>
            </w:tcBorders>
            <w:vAlign w:val="center"/>
          </w:tcPr>
          <w:p w14:paraId="77886B1B" w14:textId="77777777" w:rsidR="00B276DC" w:rsidRPr="004A1148" w:rsidRDefault="00D57F8C">
            <w:pPr>
              <w:spacing w:after="0" w:line="259" w:lineRule="auto"/>
              <w:ind w:left="0" w:right="23" w:firstLine="0"/>
              <w:jc w:val="center"/>
            </w:pPr>
            <w:r w:rsidRPr="004A1148">
              <w:rPr>
                <w:sz w:val="18"/>
              </w:rPr>
              <w:t>0.7</w:t>
            </w:r>
          </w:p>
        </w:tc>
        <w:tc>
          <w:tcPr>
            <w:tcW w:w="553" w:type="dxa"/>
            <w:tcBorders>
              <w:top w:val="single" w:sz="5" w:space="0" w:color="000000"/>
              <w:left w:val="single" w:sz="5" w:space="0" w:color="000000"/>
              <w:bottom w:val="single" w:sz="5" w:space="0" w:color="000000"/>
              <w:right w:val="single" w:sz="5" w:space="0" w:color="000000"/>
            </w:tcBorders>
            <w:vAlign w:val="center"/>
          </w:tcPr>
          <w:p w14:paraId="4781F25B" w14:textId="77777777" w:rsidR="00B276DC" w:rsidRPr="004A1148" w:rsidRDefault="00D57F8C">
            <w:pPr>
              <w:spacing w:after="0" w:line="259" w:lineRule="auto"/>
              <w:ind w:left="98" w:firstLine="0"/>
            </w:pPr>
            <w:r w:rsidRPr="004A1148">
              <w:rPr>
                <w:sz w:val="18"/>
              </w:rPr>
              <w:t>17.8</w:t>
            </w:r>
          </w:p>
        </w:tc>
        <w:tc>
          <w:tcPr>
            <w:tcW w:w="1032" w:type="dxa"/>
            <w:tcBorders>
              <w:top w:val="single" w:sz="5" w:space="0" w:color="000000"/>
              <w:left w:val="single" w:sz="5" w:space="0" w:color="000000"/>
              <w:bottom w:val="single" w:sz="5" w:space="0" w:color="000000"/>
              <w:right w:val="single" w:sz="5" w:space="0" w:color="000000"/>
            </w:tcBorders>
          </w:tcPr>
          <w:p w14:paraId="5F3B5729" w14:textId="77777777" w:rsidR="00B276DC" w:rsidRPr="004A1148" w:rsidRDefault="00D57F8C">
            <w:pPr>
              <w:spacing w:after="3" w:line="259" w:lineRule="auto"/>
              <w:ind w:left="49" w:firstLine="0"/>
            </w:pPr>
            <w:r w:rsidRPr="004A1148">
              <w:rPr>
                <w:sz w:val="18"/>
              </w:rPr>
              <w:t xml:space="preserve">y = 1.057x - </w:t>
            </w:r>
          </w:p>
          <w:p w14:paraId="028BB264" w14:textId="77777777" w:rsidR="00B276DC" w:rsidRPr="004A1148" w:rsidRDefault="00D57F8C">
            <w:pPr>
              <w:spacing w:after="0" w:line="259" w:lineRule="auto"/>
              <w:ind w:left="0" w:right="23" w:firstLine="0"/>
              <w:jc w:val="center"/>
            </w:pPr>
            <w:r w:rsidRPr="004A1148">
              <w:rPr>
                <w:sz w:val="18"/>
              </w:rPr>
              <w:t>6.2283</w:t>
            </w:r>
          </w:p>
        </w:tc>
        <w:tc>
          <w:tcPr>
            <w:tcW w:w="663" w:type="dxa"/>
            <w:tcBorders>
              <w:top w:val="single" w:sz="5" w:space="0" w:color="000000"/>
              <w:left w:val="single" w:sz="5" w:space="0" w:color="000000"/>
              <w:bottom w:val="single" w:sz="5" w:space="0" w:color="000000"/>
              <w:right w:val="single" w:sz="5" w:space="0" w:color="000000"/>
            </w:tcBorders>
            <w:vAlign w:val="center"/>
          </w:tcPr>
          <w:p w14:paraId="4447486C" w14:textId="77777777" w:rsidR="00B276DC" w:rsidRPr="004A1148" w:rsidRDefault="00D57F8C">
            <w:pPr>
              <w:spacing w:after="0" w:line="259" w:lineRule="auto"/>
              <w:ind w:left="25" w:firstLine="0"/>
              <w:jc w:val="both"/>
            </w:pPr>
            <w:r w:rsidRPr="004A1148">
              <w:rPr>
                <w:sz w:val="18"/>
              </w:rPr>
              <w:t>&lt;0.0001</w:t>
            </w:r>
          </w:p>
        </w:tc>
        <w:tc>
          <w:tcPr>
            <w:tcW w:w="651" w:type="dxa"/>
            <w:tcBorders>
              <w:top w:val="single" w:sz="5" w:space="0" w:color="000000"/>
              <w:left w:val="single" w:sz="5" w:space="0" w:color="000000"/>
              <w:bottom w:val="single" w:sz="5" w:space="0" w:color="000000"/>
              <w:right w:val="single" w:sz="5" w:space="0" w:color="000000"/>
            </w:tcBorders>
            <w:vAlign w:val="center"/>
          </w:tcPr>
          <w:p w14:paraId="7DB22383" w14:textId="77777777" w:rsidR="00B276DC" w:rsidRPr="004A1148" w:rsidRDefault="00D57F8C">
            <w:pPr>
              <w:spacing w:after="0" w:line="259" w:lineRule="auto"/>
              <w:ind w:left="12" w:firstLine="0"/>
              <w:jc w:val="both"/>
            </w:pPr>
            <w:r w:rsidRPr="004A1148">
              <w:rPr>
                <w:sz w:val="18"/>
              </w:rPr>
              <w:t>0.9692*</w:t>
            </w:r>
          </w:p>
        </w:tc>
      </w:tr>
    </w:tbl>
    <w:p w14:paraId="1CCEB5E2" w14:textId="77777777" w:rsidR="00B276DC" w:rsidRPr="004A1148" w:rsidRDefault="00D57F8C">
      <w:pPr>
        <w:spacing w:after="0" w:line="259" w:lineRule="auto"/>
        <w:ind w:left="0" w:firstLine="0"/>
      </w:pPr>
      <w:r w:rsidRPr="004A1148">
        <w:t xml:space="preserve"> </w:t>
      </w:r>
    </w:p>
    <w:p w14:paraId="412450B4" w14:textId="4C9E003A" w:rsidR="00B276DC" w:rsidRPr="004A1148" w:rsidRDefault="00D57F8C">
      <w:pPr>
        <w:ind w:left="-5" w:right="53"/>
      </w:pPr>
      <w:r w:rsidRPr="004A1148">
        <w:t xml:space="preserve">NH4 data was processed by first correcting the voltage output of the instrument for baseline drift based on the instrument response during periodic measurements of organic-free deionized water (n ≥10) and then using a regression model of the voltage response to a standard concentration. A regression coefficient of &gt;0.97 R² was judged to be acceptable. The NH4 data timestamp was corrected to account for the time lag associated with the microfluidic processing prior to integration with other data sources.  </w:t>
      </w:r>
    </w:p>
    <w:p w14:paraId="2938ECAC" w14:textId="77777777" w:rsidR="00B276DC" w:rsidRPr="004A1148" w:rsidRDefault="00D57F8C">
      <w:pPr>
        <w:spacing w:after="0" w:line="259" w:lineRule="auto"/>
        <w:ind w:left="0" w:firstLine="0"/>
      </w:pPr>
      <w:r w:rsidRPr="004A1148">
        <w:t xml:space="preserve"> </w:t>
      </w:r>
    </w:p>
    <w:p w14:paraId="07DC4FD0" w14:textId="74E6D339" w:rsidR="00B276DC" w:rsidRPr="004A1148" w:rsidRDefault="00D57F8C">
      <w:pPr>
        <w:ind w:left="-5" w:right="53"/>
      </w:pPr>
      <w:r w:rsidRPr="004A1148">
        <w:t>Dissolved inorganic nitrogen (DIN) concentration was calculated as the sum of NO3, NO2 and NH4–both for the continuous data and the discrete sample data. Laboratory DON concentration was calculated by subtracting NH4, NO3, and NO2 data from the TDN data (i.e. DON = TDN – DIN). Continuous DOC concentrations were developed by regressing onboard fDOM data against laboratory determined DOC concentrations (R</w:t>
      </w:r>
      <w:r w:rsidRPr="004A1148">
        <w:rPr>
          <w:vertAlign w:val="superscript"/>
        </w:rPr>
        <w:t>2</w:t>
      </w:r>
      <w:r w:rsidRPr="004A1148">
        <w:t xml:space="preserve"> = 0.81) measured in discrete samples according to modified methods by Snyder </w:t>
      </w:r>
      <w:r w:rsidR="008F3970">
        <w:t>and others</w:t>
      </w:r>
      <w:r w:rsidRPr="004A1148">
        <w:t xml:space="preserve"> </w:t>
      </w:r>
      <w:r w:rsidR="00B94909">
        <w:t>(</w:t>
      </w:r>
      <w:r w:rsidRPr="004A1148">
        <w:t>2018); these data are reported as estDOC. Due to a poor relation between fDOM and discrete sample DON concentrations (R</w:t>
      </w:r>
      <w:r w:rsidRPr="004A1148">
        <w:rPr>
          <w:vertAlign w:val="superscript"/>
        </w:rPr>
        <w:t>2</w:t>
      </w:r>
      <w:r w:rsidRPr="004A1148">
        <w:t xml:space="preserve"> = 0.21), we did not estimate continuous DON concentrations. Data exceeding </w:t>
      </w:r>
      <w:r w:rsidR="000A4F88" w:rsidRPr="004A1148">
        <w:t>three</w:t>
      </w:r>
      <w:r w:rsidRPr="004A1148">
        <w:t xml:space="preserve"> times the standard deviation of the residuals was judged to be an outlier and not included in the model.  </w:t>
      </w:r>
    </w:p>
    <w:p w14:paraId="67681152" w14:textId="1E6D586C" w:rsidR="00F80654" w:rsidRPr="004A1148" w:rsidRDefault="00F80654">
      <w:pPr>
        <w:ind w:left="-5" w:right="53"/>
      </w:pPr>
    </w:p>
    <w:p w14:paraId="63E5F4B5" w14:textId="423FC376" w:rsidR="00F80654" w:rsidRPr="004A1148" w:rsidRDefault="00F80654">
      <w:pPr>
        <w:ind w:left="-5" w:right="53"/>
      </w:pPr>
      <w:r w:rsidRPr="004A1148">
        <w:t>Laboratory reported data for discrete samples from the National Water Quality Information System (NWIS; USGS, 2022) are included for convenience in a discrete data file. Accompanying laboratory reported data are NWIS qualifier and remark codes as they appear in NWIS</w:t>
      </w:r>
      <w:r w:rsidR="00747A0D" w:rsidRPr="004A1148">
        <w:t xml:space="preserve"> </w:t>
      </w:r>
      <w:r w:rsidR="00747A0D" w:rsidRPr="004A1148">
        <w:rPr>
          <w:rFonts w:asciiTheme="minorHAnsi" w:hAnsiTheme="minorHAnsi" w:cstheme="minorHAnsi"/>
        </w:rPr>
        <w:t>(U.S. Geological Survey, 2011a, 2011b)</w:t>
      </w:r>
      <w:r w:rsidRPr="004A1148">
        <w:t>. For discrete nutrient sample concentrations, in addition to reporting nutrient parameters as they appear in NWIS (e.g.</w:t>
      </w:r>
      <w:r w:rsidR="008D3112" w:rsidRPr="004A1148">
        <w:t>,</w:t>
      </w:r>
      <w:r w:rsidRPr="004A1148">
        <w:t xml:space="preserve"> mg-N/L or mg-P/L), we also reported those same parameters converted to µM units. For lab</w:t>
      </w:r>
      <w:r w:rsidR="008D3112" w:rsidRPr="004A1148">
        <w:t>oratory</w:t>
      </w:r>
      <w:r w:rsidRPr="004A1148">
        <w:t xml:space="preserve"> reported values that </w:t>
      </w:r>
      <w:r w:rsidRPr="004A1148">
        <w:lastRenderedPageBreak/>
        <w:t xml:space="preserve">are reported below the method </w:t>
      </w:r>
      <w:r w:rsidR="008D3112" w:rsidRPr="004A1148">
        <w:t xml:space="preserve">lowest </w:t>
      </w:r>
      <w:r w:rsidRPr="004A1148">
        <w:t>detection limit</w:t>
      </w:r>
      <w:r w:rsidR="008D3112" w:rsidRPr="004A1148">
        <w:t xml:space="preserve"> (LDL)</w:t>
      </w:r>
      <w:r w:rsidRPr="004A1148">
        <w:t xml:space="preserve">, half of the </w:t>
      </w:r>
      <w:r w:rsidR="008D3112" w:rsidRPr="004A1148">
        <w:t>LDL</w:t>
      </w:r>
      <w:r w:rsidRPr="004A1148">
        <w:t xml:space="preserve"> is reported in the associated µM column</w:t>
      </w:r>
      <w:r w:rsidR="008D3112" w:rsidRPr="004A1148">
        <w:t xml:space="preserve"> (Clarke</w:t>
      </w:r>
      <w:r w:rsidR="00B94909">
        <w:t>,</w:t>
      </w:r>
      <w:r w:rsidR="008D3112" w:rsidRPr="004A1148">
        <w:t xml:space="preserve"> 1998)</w:t>
      </w:r>
      <w:r w:rsidRPr="004A1148">
        <w:t xml:space="preserve">, and those data are used to bias correct the SUNA NO3 data (Pellerin </w:t>
      </w:r>
      <w:r w:rsidR="008F3970">
        <w:t>and others</w:t>
      </w:r>
      <w:r w:rsidRPr="004A1148">
        <w:t xml:space="preserve">, 2013) and to generate the spatially aligned datasets. Table 2 summarizes mg/L to µM conversion factors and ½ the </w:t>
      </w:r>
      <w:r w:rsidR="00E05D29" w:rsidRPr="004A1148">
        <w:t>L</w:t>
      </w:r>
      <w:r w:rsidRPr="004A1148">
        <w:t>DL values</w:t>
      </w:r>
      <w:r w:rsidR="00AA52F9" w:rsidRPr="004A1148">
        <w:t xml:space="preserve"> (</w:t>
      </w:r>
      <w:r w:rsidR="008A0B8A" w:rsidRPr="004A1148">
        <w:t>Clarke</w:t>
      </w:r>
      <w:r w:rsidR="00B94909">
        <w:t>,</w:t>
      </w:r>
      <w:r w:rsidR="008A0B8A" w:rsidRPr="004A1148">
        <w:t xml:space="preserve"> 19</w:t>
      </w:r>
      <w:r w:rsidR="00CA351B" w:rsidRPr="004A1148">
        <w:t>98</w:t>
      </w:r>
      <w:r w:rsidR="00AA52F9" w:rsidRPr="004A1148">
        <w:t>)</w:t>
      </w:r>
      <w:r w:rsidRPr="004A1148">
        <w:t xml:space="preserve">. </w:t>
      </w:r>
    </w:p>
    <w:p w14:paraId="42B6EF41" w14:textId="7F056CD9" w:rsidR="00F80654" w:rsidRPr="004A1148" w:rsidRDefault="00F80654">
      <w:pPr>
        <w:ind w:left="-5" w:right="53"/>
      </w:pPr>
    </w:p>
    <w:p w14:paraId="5CA270A8" w14:textId="4BF5681E" w:rsidR="00F80654" w:rsidRPr="004A1148" w:rsidRDefault="00F80654" w:rsidP="00F72071">
      <w:pPr>
        <w:ind w:left="0" w:right="53" w:firstLine="0"/>
      </w:pPr>
      <w:r w:rsidRPr="004A1148">
        <w:t xml:space="preserve">Table 2. Summary of conversions factors used to </w:t>
      </w:r>
      <w:r w:rsidR="00E05D29" w:rsidRPr="004A1148">
        <w:t>calculate micromolar nutrient concentrations, NWQL</w:t>
      </w:r>
      <w:r w:rsidR="008D3112" w:rsidRPr="004A1148">
        <w:t xml:space="preserve"> method lowest detection limit</w:t>
      </w:r>
      <w:r w:rsidR="00E05D29" w:rsidRPr="004A1148">
        <w:t xml:space="preserve"> (LDL), and ½ LDLs used for bias correction and model calculations. </w:t>
      </w:r>
    </w:p>
    <w:p w14:paraId="47AB9809" w14:textId="77777777" w:rsidR="00E05D29" w:rsidRPr="004A1148" w:rsidRDefault="00E05D29">
      <w:pPr>
        <w:ind w:left="-5" w:right="53"/>
      </w:pPr>
    </w:p>
    <w:tbl>
      <w:tblPr>
        <w:tblStyle w:val="PlainTable2"/>
        <w:tblW w:w="5980" w:type="dxa"/>
        <w:jc w:val="center"/>
        <w:tblLook w:val="04A0" w:firstRow="1" w:lastRow="0" w:firstColumn="1" w:lastColumn="0" w:noHBand="0" w:noVBand="1"/>
      </w:tblPr>
      <w:tblGrid>
        <w:gridCol w:w="1184"/>
        <w:gridCol w:w="1240"/>
        <w:gridCol w:w="1300"/>
        <w:gridCol w:w="1060"/>
        <w:gridCol w:w="1380"/>
      </w:tblGrid>
      <w:tr w:rsidR="00E05D29" w:rsidRPr="004A1148" w14:paraId="62DCE9C7" w14:textId="77777777" w:rsidTr="009C5A48">
        <w:trPr>
          <w:cnfStyle w:val="100000000000" w:firstRow="1" w:lastRow="0" w:firstColumn="0" w:lastColumn="0" w:oddVBand="0" w:evenVBand="0" w:oddHBand="0"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080" w:type="dxa"/>
            <w:hideMark/>
          </w:tcPr>
          <w:p w14:paraId="61842D84"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Parameter</w:t>
            </w:r>
          </w:p>
        </w:tc>
        <w:tc>
          <w:tcPr>
            <w:tcW w:w="1160" w:type="dxa"/>
            <w:hideMark/>
          </w:tcPr>
          <w:p w14:paraId="26D31A57" w14:textId="77777777" w:rsidR="00F80654" w:rsidRPr="004A1148" w:rsidRDefault="00F80654" w:rsidP="00F80654">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Conversion factor</w:t>
            </w:r>
          </w:p>
        </w:tc>
        <w:tc>
          <w:tcPr>
            <w:tcW w:w="1300" w:type="dxa"/>
            <w:hideMark/>
          </w:tcPr>
          <w:p w14:paraId="0BA638FA" w14:textId="1A7FEB6E" w:rsidR="00F80654" w:rsidRPr="004A1148" w:rsidRDefault="00E05D29" w:rsidP="00F80654">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LDL</w:t>
            </w:r>
            <w:r w:rsidR="00F80654" w:rsidRPr="004A1148">
              <w:rPr>
                <w:rFonts w:eastAsia="Times New Roman"/>
                <w:sz w:val="22"/>
              </w:rPr>
              <w:t xml:space="preserve"> (mg-/L)</w:t>
            </w:r>
          </w:p>
        </w:tc>
        <w:tc>
          <w:tcPr>
            <w:tcW w:w="1060" w:type="dxa"/>
            <w:hideMark/>
          </w:tcPr>
          <w:p w14:paraId="02E4793C" w14:textId="20A83425" w:rsidR="00F80654" w:rsidRPr="004A1148" w:rsidRDefault="00E05D29" w:rsidP="00F80654">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 xml:space="preserve">LDL </w:t>
            </w:r>
            <w:r w:rsidR="00F80654" w:rsidRPr="004A1148">
              <w:rPr>
                <w:rFonts w:eastAsia="Times New Roman"/>
                <w:sz w:val="22"/>
              </w:rPr>
              <w:t>(</w:t>
            </w:r>
            <w:r w:rsidR="008D3112" w:rsidRPr="004A1148">
              <w:rPr>
                <w:rFonts w:eastAsia="Times New Roman"/>
                <w:sz w:val="22"/>
              </w:rPr>
              <w:t>μ</w:t>
            </w:r>
            <w:r w:rsidR="00F80654" w:rsidRPr="004A1148">
              <w:rPr>
                <w:rFonts w:eastAsia="Times New Roman"/>
                <w:sz w:val="22"/>
              </w:rPr>
              <w:t>M)</w:t>
            </w:r>
          </w:p>
        </w:tc>
        <w:tc>
          <w:tcPr>
            <w:tcW w:w="1380" w:type="dxa"/>
            <w:hideMark/>
          </w:tcPr>
          <w:p w14:paraId="120B9EEF" w14:textId="6FE542D6" w:rsidR="00F80654" w:rsidRPr="004A1148" w:rsidRDefault="00F80654" w:rsidP="00F80654">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 xml:space="preserve">1/2 </w:t>
            </w:r>
            <w:r w:rsidR="00E05D29" w:rsidRPr="004A1148">
              <w:rPr>
                <w:rFonts w:eastAsia="Times New Roman"/>
                <w:sz w:val="22"/>
              </w:rPr>
              <w:t>LDL</w:t>
            </w:r>
            <w:r w:rsidRPr="004A1148">
              <w:rPr>
                <w:rFonts w:eastAsia="Times New Roman"/>
                <w:sz w:val="22"/>
              </w:rPr>
              <w:t xml:space="preserve"> </w:t>
            </w:r>
            <w:r w:rsidR="008D3112" w:rsidRPr="004A1148">
              <w:rPr>
                <w:rFonts w:eastAsia="Times New Roman"/>
                <w:sz w:val="22"/>
              </w:rPr>
              <w:t>μ</w:t>
            </w:r>
            <w:r w:rsidRPr="004A1148">
              <w:rPr>
                <w:rFonts w:eastAsia="Times New Roman"/>
                <w:sz w:val="22"/>
              </w:rPr>
              <w:t>M</w:t>
            </w:r>
          </w:p>
        </w:tc>
      </w:tr>
      <w:tr w:rsidR="00F80654" w:rsidRPr="004A1148" w14:paraId="5CD674F6"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001558D"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NO3</w:t>
            </w:r>
          </w:p>
        </w:tc>
        <w:tc>
          <w:tcPr>
            <w:tcW w:w="1160" w:type="dxa"/>
            <w:noWrap/>
            <w:hideMark/>
          </w:tcPr>
          <w:p w14:paraId="5E3BEF64"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71.39</w:t>
            </w:r>
          </w:p>
        </w:tc>
        <w:tc>
          <w:tcPr>
            <w:tcW w:w="1300" w:type="dxa"/>
            <w:noWrap/>
            <w:hideMark/>
          </w:tcPr>
          <w:p w14:paraId="3C5BC21E"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0.04</w:t>
            </w:r>
          </w:p>
        </w:tc>
        <w:tc>
          <w:tcPr>
            <w:tcW w:w="1060" w:type="dxa"/>
            <w:noWrap/>
            <w:hideMark/>
          </w:tcPr>
          <w:p w14:paraId="2732DD3B"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2.86</w:t>
            </w:r>
          </w:p>
        </w:tc>
        <w:tc>
          <w:tcPr>
            <w:tcW w:w="1380" w:type="dxa"/>
            <w:noWrap/>
            <w:hideMark/>
          </w:tcPr>
          <w:p w14:paraId="655DDC39"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1.428</w:t>
            </w:r>
          </w:p>
        </w:tc>
      </w:tr>
      <w:tr w:rsidR="00F80654" w:rsidRPr="004A1148" w14:paraId="705370FB" w14:textId="77777777" w:rsidTr="009C5A48">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A51DDAE"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NH4</w:t>
            </w:r>
          </w:p>
        </w:tc>
        <w:tc>
          <w:tcPr>
            <w:tcW w:w="1160" w:type="dxa"/>
            <w:noWrap/>
            <w:hideMark/>
          </w:tcPr>
          <w:p w14:paraId="21B22DA9" w14:textId="77777777"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71.39</w:t>
            </w:r>
          </w:p>
        </w:tc>
        <w:tc>
          <w:tcPr>
            <w:tcW w:w="1300" w:type="dxa"/>
            <w:noWrap/>
            <w:hideMark/>
          </w:tcPr>
          <w:p w14:paraId="4B8E70E1" w14:textId="06F1CAF5"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0.0</w:t>
            </w:r>
            <w:r w:rsidR="004E6C4D" w:rsidRPr="004A1148">
              <w:rPr>
                <w:rFonts w:eastAsia="Times New Roman"/>
                <w:sz w:val="22"/>
              </w:rPr>
              <w:t>1</w:t>
            </w:r>
          </w:p>
        </w:tc>
        <w:tc>
          <w:tcPr>
            <w:tcW w:w="1060" w:type="dxa"/>
            <w:noWrap/>
            <w:hideMark/>
          </w:tcPr>
          <w:p w14:paraId="328D4254" w14:textId="35EEF91D" w:rsidR="00F80654" w:rsidRPr="004A1148" w:rsidRDefault="004E6C4D"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0.71</w:t>
            </w:r>
          </w:p>
        </w:tc>
        <w:tc>
          <w:tcPr>
            <w:tcW w:w="1380" w:type="dxa"/>
            <w:noWrap/>
            <w:hideMark/>
          </w:tcPr>
          <w:p w14:paraId="70365B24" w14:textId="2A975F3B"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0.</w:t>
            </w:r>
            <w:r w:rsidR="004E6C4D" w:rsidRPr="004A1148">
              <w:rPr>
                <w:rFonts w:eastAsia="Times New Roman"/>
                <w:sz w:val="22"/>
              </w:rPr>
              <w:t>36</w:t>
            </w:r>
          </w:p>
        </w:tc>
      </w:tr>
      <w:tr w:rsidR="00F80654" w:rsidRPr="004A1148" w14:paraId="6351F6C1"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C224598"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NO2</w:t>
            </w:r>
          </w:p>
        </w:tc>
        <w:tc>
          <w:tcPr>
            <w:tcW w:w="1160" w:type="dxa"/>
            <w:noWrap/>
            <w:hideMark/>
          </w:tcPr>
          <w:p w14:paraId="59D4AE29"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71.39</w:t>
            </w:r>
          </w:p>
        </w:tc>
        <w:tc>
          <w:tcPr>
            <w:tcW w:w="1300" w:type="dxa"/>
            <w:noWrap/>
            <w:hideMark/>
          </w:tcPr>
          <w:p w14:paraId="4F2A41D8"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0.001</w:t>
            </w:r>
          </w:p>
        </w:tc>
        <w:tc>
          <w:tcPr>
            <w:tcW w:w="1060" w:type="dxa"/>
            <w:noWrap/>
            <w:hideMark/>
          </w:tcPr>
          <w:p w14:paraId="232CEB57" w14:textId="5C0815CC"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0.07</w:t>
            </w:r>
            <w:r w:rsidR="003E4111" w:rsidRPr="004A1148">
              <w:rPr>
                <w:rFonts w:eastAsia="Times New Roman"/>
                <w:sz w:val="22"/>
              </w:rPr>
              <w:t>1</w:t>
            </w:r>
          </w:p>
        </w:tc>
        <w:tc>
          <w:tcPr>
            <w:tcW w:w="1380" w:type="dxa"/>
            <w:noWrap/>
            <w:hideMark/>
          </w:tcPr>
          <w:p w14:paraId="0D4D235A"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0.036</w:t>
            </w:r>
          </w:p>
        </w:tc>
      </w:tr>
      <w:tr w:rsidR="00F80654" w:rsidRPr="004A1148" w14:paraId="155E7BAC" w14:textId="77777777" w:rsidTr="009C5A48">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A7439C1"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TDN</w:t>
            </w:r>
          </w:p>
        </w:tc>
        <w:tc>
          <w:tcPr>
            <w:tcW w:w="1160" w:type="dxa"/>
            <w:noWrap/>
            <w:hideMark/>
          </w:tcPr>
          <w:p w14:paraId="37D893AE" w14:textId="77777777"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71.39</w:t>
            </w:r>
          </w:p>
        </w:tc>
        <w:tc>
          <w:tcPr>
            <w:tcW w:w="1300" w:type="dxa"/>
            <w:noWrap/>
            <w:hideMark/>
          </w:tcPr>
          <w:p w14:paraId="0AA649A3" w14:textId="77777777"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0.05</w:t>
            </w:r>
          </w:p>
        </w:tc>
        <w:tc>
          <w:tcPr>
            <w:tcW w:w="1060" w:type="dxa"/>
            <w:noWrap/>
            <w:hideMark/>
          </w:tcPr>
          <w:p w14:paraId="2863BA5F" w14:textId="77777777"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3.57</w:t>
            </w:r>
          </w:p>
        </w:tc>
        <w:tc>
          <w:tcPr>
            <w:tcW w:w="1380" w:type="dxa"/>
            <w:noWrap/>
            <w:hideMark/>
          </w:tcPr>
          <w:p w14:paraId="14F1A548" w14:textId="77777777" w:rsidR="00F80654" w:rsidRPr="004A1148" w:rsidRDefault="00F80654" w:rsidP="00F80654">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sz w:val="22"/>
              </w:rPr>
            </w:pPr>
            <w:r w:rsidRPr="004A1148">
              <w:rPr>
                <w:rFonts w:eastAsia="Times New Roman"/>
                <w:sz w:val="22"/>
              </w:rPr>
              <w:t>1.785</w:t>
            </w:r>
          </w:p>
        </w:tc>
      </w:tr>
      <w:tr w:rsidR="00F80654" w:rsidRPr="004A1148" w14:paraId="12C0E4BA" w14:textId="77777777" w:rsidTr="009C5A48">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4BB3805" w14:textId="77777777" w:rsidR="00F80654" w:rsidRPr="004A1148" w:rsidRDefault="00F80654" w:rsidP="00F80654">
            <w:pPr>
              <w:spacing w:after="0" w:line="240" w:lineRule="auto"/>
              <w:ind w:left="0" w:firstLine="0"/>
              <w:jc w:val="center"/>
              <w:rPr>
                <w:rFonts w:eastAsia="Times New Roman"/>
                <w:sz w:val="22"/>
              </w:rPr>
            </w:pPr>
            <w:r w:rsidRPr="004A1148">
              <w:rPr>
                <w:rFonts w:eastAsia="Times New Roman"/>
                <w:sz w:val="22"/>
              </w:rPr>
              <w:t>PO4</w:t>
            </w:r>
          </w:p>
        </w:tc>
        <w:tc>
          <w:tcPr>
            <w:tcW w:w="1160" w:type="dxa"/>
            <w:noWrap/>
            <w:hideMark/>
          </w:tcPr>
          <w:p w14:paraId="7D60FD0B" w14:textId="756BA424"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32.2</w:t>
            </w:r>
            <w:r w:rsidR="00E05D29" w:rsidRPr="004A1148">
              <w:rPr>
                <w:rFonts w:eastAsia="Times New Roman"/>
                <w:sz w:val="22"/>
              </w:rPr>
              <w:t>8</w:t>
            </w:r>
          </w:p>
        </w:tc>
        <w:tc>
          <w:tcPr>
            <w:tcW w:w="1300" w:type="dxa"/>
            <w:noWrap/>
            <w:hideMark/>
          </w:tcPr>
          <w:p w14:paraId="0CD8780D"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0.004</w:t>
            </w:r>
          </w:p>
        </w:tc>
        <w:tc>
          <w:tcPr>
            <w:tcW w:w="1060" w:type="dxa"/>
            <w:noWrap/>
            <w:hideMark/>
          </w:tcPr>
          <w:p w14:paraId="6782314F"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0.13</w:t>
            </w:r>
          </w:p>
        </w:tc>
        <w:tc>
          <w:tcPr>
            <w:tcW w:w="1380" w:type="dxa"/>
            <w:noWrap/>
            <w:hideMark/>
          </w:tcPr>
          <w:p w14:paraId="08AA9272" w14:textId="77777777" w:rsidR="00F80654" w:rsidRPr="004A1148" w:rsidRDefault="00F80654" w:rsidP="00F80654">
            <w:pPr>
              <w:spacing w:after="0" w:line="240" w:lineRule="auto"/>
              <w:ind w:left="0" w:firstLine="0"/>
              <w:jc w:val="center"/>
              <w:cnfStyle w:val="000000100000" w:firstRow="0" w:lastRow="0" w:firstColumn="0" w:lastColumn="0" w:oddVBand="0" w:evenVBand="0" w:oddHBand="1" w:evenHBand="0" w:firstRowFirstColumn="0" w:firstRowLastColumn="0" w:lastRowFirstColumn="0" w:lastRowLastColumn="0"/>
              <w:rPr>
                <w:rFonts w:eastAsia="Times New Roman"/>
                <w:sz w:val="22"/>
              </w:rPr>
            </w:pPr>
            <w:r w:rsidRPr="004A1148">
              <w:rPr>
                <w:rFonts w:eastAsia="Times New Roman"/>
                <w:sz w:val="22"/>
              </w:rPr>
              <w:t>0.065</w:t>
            </w:r>
          </w:p>
        </w:tc>
      </w:tr>
    </w:tbl>
    <w:p w14:paraId="29EEA36C" w14:textId="27C3CB8E" w:rsidR="00B276DC" w:rsidRPr="004A1148" w:rsidRDefault="00D57F8C">
      <w:pPr>
        <w:spacing w:after="18" w:line="259" w:lineRule="auto"/>
        <w:ind w:left="0" w:firstLine="0"/>
      </w:pPr>
      <w:r w:rsidRPr="004A1148">
        <w:t xml:space="preserve"> </w:t>
      </w:r>
    </w:p>
    <w:p w14:paraId="1D64E1B4" w14:textId="77777777" w:rsidR="00C07EA4" w:rsidRPr="004A1148" w:rsidRDefault="00C07EA4">
      <w:pPr>
        <w:spacing w:after="18" w:line="259" w:lineRule="auto"/>
        <w:ind w:left="0" w:firstLine="0"/>
      </w:pPr>
    </w:p>
    <w:p w14:paraId="43003D4D" w14:textId="2DD6256C" w:rsidR="00B276DC" w:rsidRPr="00E50351" w:rsidRDefault="00D57F8C">
      <w:pPr>
        <w:pStyle w:val="Heading3"/>
        <w:ind w:left="-5"/>
        <w:rPr>
          <w:b/>
          <w:bCs/>
        </w:rPr>
      </w:pPr>
      <w:r w:rsidRPr="00E50351">
        <w:rPr>
          <w:b/>
          <w:bCs/>
        </w:rPr>
        <w:t xml:space="preserve">Spatial Alignment (SA) </w:t>
      </w:r>
    </w:p>
    <w:p w14:paraId="0B666E3D" w14:textId="77777777" w:rsidR="00E746E3" w:rsidRPr="004A1148" w:rsidRDefault="00E746E3" w:rsidP="00843D20"/>
    <w:p w14:paraId="7B3C8F5B" w14:textId="1E1503A3" w:rsidR="00B276DC" w:rsidRPr="004A1148" w:rsidRDefault="00D57F8C">
      <w:pPr>
        <w:ind w:left="-5" w:right="53"/>
      </w:pPr>
      <w:r w:rsidRPr="004A1148">
        <w:t>Data w</w:t>
      </w:r>
      <w:r w:rsidR="00976E0C" w:rsidRPr="004A1148">
        <w:t>ere</w:t>
      </w:r>
      <w:r w:rsidRPr="004A1148">
        <w:t xml:space="preserve"> spatially aligned to </w:t>
      </w:r>
      <w:r w:rsidR="00976E0C" w:rsidRPr="004A1148">
        <w:t xml:space="preserve">geographic coordinate system </w:t>
      </w:r>
      <w:r w:rsidR="001E792C" w:rsidRPr="004A1148">
        <w:t>(</w:t>
      </w:r>
      <w:r w:rsidR="00976E0C" w:rsidRPr="004A1148">
        <w:t>NAD 1983</w:t>
      </w:r>
      <w:r w:rsidR="001E792C" w:rsidRPr="004A1148">
        <w:t xml:space="preserve">, </w:t>
      </w:r>
      <w:r w:rsidR="00976E0C" w:rsidRPr="004A1148">
        <w:t>2011</w:t>
      </w:r>
      <w:r w:rsidR="003B4D65" w:rsidRPr="004A1148">
        <w:t>)</w:t>
      </w:r>
      <w:r w:rsidRPr="004A1148">
        <w:t xml:space="preserve"> to facilitate comparisons between dates and to minimize the effects of differential data density on the spatial interpolation calculations. The spatial alignment was performed using the </w:t>
      </w:r>
      <w:r w:rsidR="003F3375" w:rsidRPr="004A1148">
        <w:t>G</w:t>
      </w:r>
      <w:r w:rsidRPr="004A1148">
        <w:t>eo</w:t>
      </w:r>
      <w:r w:rsidR="003F3375" w:rsidRPr="004A1148">
        <w:t>P</w:t>
      </w:r>
      <w:r w:rsidRPr="004A1148">
        <w:t>andas software library in python</w:t>
      </w:r>
      <w:r w:rsidR="000966FF" w:rsidRPr="004A1148">
        <w:t xml:space="preserve"> (Jordahl, 2014)</w:t>
      </w:r>
      <w:r w:rsidRPr="004A1148">
        <w:t>, which assigned median-filtered data points to polygon shapefiles that are spaced at approximately 150 m intervals. Spatially aligned data w</w:t>
      </w:r>
      <w:r w:rsidR="00331981" w:rsidRPr="004A1148">
        <w:t>ere</w:t>
      </w:r>
      <w:r w:rsidRPr="004A1148">
        <w:t xml:space="preserve"> then aggregated by polygon shapefile to obtain summary statistics of all median-filtered data within a polygon. </w:t>
      </w:r>
    </w:p>
    <w:p w14:paraId="5D5494D6" w14:textId="77777777" w:rsidR="00B276DC" w:rsidRPr="004A1148" w:rsidRDefault="00D57F8C">
      <w:pPr>
        <w:spacing w:after="0" w:line="259" w:lineRule="auto"/>
        <w:ind w:left="0" w:firstLine="0"/>
      </w:pPr>
      <w:r w:rsidRPr="004A1148">
        <w:t xml:space="preserve"> </w:t>
      </w:r>
    </w:p>
    <w:p w14:paraId="10DEBC79" w14:textId="59D9D08C" w:rsidR="00B276DC" w:rsidRPr="004A1148" w:rsidRDefault="00D57F8C">
      <w:pPr>
        <w:ind w:left="-5" w:right="53"/>
      </w:pPr>
      <w:r w:rsidRPr="004A1148">
        <w:t xml:space="preserve">Interpolated water quality </w:t>
      </w:r>
      <w:r w:rsidR="00706B60" w:rsidRPr="004A1148">
        <w:t>data</w:t>
      </w:r>
      <w:r w:rsidRPr="004A1148">
        <w:t xml:space="preserve"> were created from the spatially aligned data using </w:t>
      </w:r>
      <w:r w:rsidR="00FD6D53" w:rsidRPr="004A1148">
        <w:t xml:space="preserve">ESRI’s </w:t>
      </w:r>
      <w:r w:rsidRPr="004A1148">
        <w:t>ArcGIS Pro</w:t>
      </w:r>
      <w:r w:rsidR="00212013" w:rsidRPr="004A1148">
        <w:t xml:space="preserve"> </w:t>
      </w:r>
      <w:r w:rsidRPr="004A1148">
        <w:t xml:space="preserve">Spline with Barriers tool (Terzopoulos and Witkin, 1988). The raster output was smoothed with the Focal Statistics tool, and interpolated values </w:t>
      </w:r>
      <w:r w:rsidR="00AC0050" w:rsidRPr="004A1148">
        <w:t>from the raster</w:t>
      </w:r>
      <w:r w:rsidR="00CF6C40" w:rsidRPr="004A1148">
        <w:t xml:space="preserve"> output</w:t>
      </w:r>
      <w:r w:rsidR="00AC0050" w:rsidRPr="004A1148">
        <w:t xml:space="preserve"> </w:t>
      </w:r>
      <w:r w:rsidRPr="004A1148">
        <w:t xml:space="preserve">were extracted to the spatially aligned points </w:t>
      </w:r>
      <w:r w:rsidR="00A905BB" w:rsidRPr="004A1148">
        <w:t xml:space="preserve">with the Extract Multi Values to Points tool </w:t>
      </w:r>
      <w:r w:rsidRPr="004A1148">
        <w:t xml:space="preserve">to create continuous spatially aligned data across the mapping domain. </w:t>
      </w:r>
      <w:r w:rsidR="00A905BB" w:rsidRPr="004A1148">
        <w:t xml:space="preserve">Rasters were converted to vector format using the Contour tool, then clipped </w:t>
      </w:r>
      <w:r w:rsidR="00D02E27" w:rsidRPr="004A1148">
        <w:t>with the Clip tool using a Sacramento-San Joaquin Delta polygon obtained from the National Hydrography Dataset</w:t>
      </w:r>
      <w:r w:rsidR="001E792C" w:rsidRPr="004A1148">
        <w:t xml:space="preserve"> (</w:t>
      </w:r>
      <w:r w:rsidR="001E792C" w:rsidRPr="004A1148">
        <w:rPr>
          <w:rFonts w:asciiTheme="minorHAnsi" w:hAnsiTheme="minorHAnsi" w:cstheme="minorHAnsi"/>
        </w:rPr>
        <w:t>U.S. Geological Survey, 2016</w:t>
      </w:r>
      <w:r w:rsidR="001E792C" w:rsidRPr="004A1148">
        <w:t>)</w:t>
      </w:r>
      <w:r w:rsidR="00D02E27" w:rsidRPr="004A1148">
        <w:t xml:space="preserve">. </w:t>
      </w:r>
      <w:r w:rsidRPr="004A1148">
        <w:t>These data are referred to as spatially aligned (SA)</w:t>
      </w:r>
      <w:r w:rsidR="00855886" w:rsidRPr="004A1148">
        <w:t>,</w:t>
      </w:r>
      <w:r w:rsidRPr="004A1148">
        <w:t xml:space="preserve"> and </w:t>
      </w:r>
      <w:r w:rsidR="00855886" w:rsidRPr="004A1148">
        <w:t xml:space="preserve">each data point is </w:t>
      </w:r>
      <w:r w:rsidRPr="004A1148">
        <w:t>associated with a specific sampling day</w:t>
      </w:r>
      <w:bookmarkStart w:id="1" w:name="_Hlk110878200"/>
      <w:r w:rsidR="00843D20" w:rsidRPr="004A1148">
        <w:t>, latitude and longitude,</w:t>
      </w:r>
      <w:r w:rsidR="00D02E27" w:rsidRPr="004A1148">
        <w:t xml:space="preserve"> </w:t>
      </w:r>
      <w:bookmarkEnd w:id="1"/>
      <w:r w:rsidR="00D02E27" w:rsidRPr="004A1148">
        <w:t>and water quality parameter.</w:t>
      </w:r>
    </w:p>
    <w:p w14:paraId="4BF1228E" w14:textId="77777777" w:rsidR="00B276DC" w:rsidRPr="004A1148" w:rsidRDefault="00D57F8C">
      <w:pPr>
        <w:spacing w:after="239" w:line="259" w:lineRule="auto"/>
        <w:ind w:left="0" w:firstLine="0"/>
      </w:pPr>
      <w:r w:rsidRPr="004A1148">
        <w:rPr>
          <w:sz w:val="32"/>
        </w:rPr>
        <w:lastRenderedPageBreak/>
        <w:t xml:space="preserve"> </w:t>
      </w:r>
    </w:p>
    <w:p w14:paraId="7CC78F0E" w14:textId="4D68BA58" w:rsidR="00B276DC" w:rsidRPr="004A1148" w:rsidRDefault="00D57F8C">
      <w:pPr>
        <w:pStyle w:val="Heading1"/>
        <w:ind w:left="-5"/>
      </w:pPr>
      <w:r w:rsidRPr="004A1148">
        <w:t xml:space="preserve">References  </w:t>
      </w:r>
    </w:p>
    <w:p w14:paraId="410C8E26" w14:textId="0CECB98A" w:rsidR="00F82170" w:rsidRPr="004A1148" w:rsidRDefault="00D57F8C" w:rsidP="00843D20">
      <w:pPr>
        <w:ind w:left="-5" w:right="53" w:firstLine="5"/>
      </w:pPr>
      <w:r w:rsidRPr="004A1148">
        <w:t xml:space="preserve"> </w:t>
      </w:r>
    </w:p>
    <w:p w14:paraId="12BF0216"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American Public Health Association [APHA], 2012, Standard methods for the examination of water and wastewater, 22</w:t>
      </w:r>
      <w:r w:rsidRPr="004A1148">
        <w:rPr>
          <w:rFonts w:asciiTheme="minorHAnsi" w:hAnsiTheme="minorHAnsi" w:cstheme="minorHAnsi"/>
          <w:color w:val="auto"/>
          <w:szCs w:val="24"/>
          <w:vertAlign w:val="superscript"/>
        </w:rPr>
        <w:t>nd</w:t>
      </w:r>
      <w:r w:rsidRPr="004A1148">
        <w:rPr>
          <w:rFonts w:asciiTheme="minorHAnsi" w:hAnsiTheme="minorHAnsi" w:cstheme="minorHAnsi"/>
          <w:color w:val="auto"/>
          <w:szCs w:val="24"/>
        </w:rPr>
        <w:t xml:space="preserve"> Edition: Washington, D.C., American Water Works Association, Water Environment Federation, 874 p. </w:t>
      </w:r>
    </w:p>
    <w:p w14:paraId="44BFC874"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Arar, E.J. and Collins, G.B., 1997, Method 445.0: In vitro determination of chlorophyll a and pheophytin a in marine and freshwater algae by fluorescence: Washington, D.C., U. S. Environmental Protection Agency, Office of Research and Development, National Exposure Research Laboratory. [Also available at </w:t>
      </w:r>
      <w:r w:rsidRPr="004A1148">
        <w:rPr>
          <w:rFonts w:asciiTheme="minorHAnsi" w:hAnsiTheme="minorHAnsi" w:cstheme="minorHAnsi"/>
          <w:color w:val="0000FF"/>
          <w:szCs w:val="24"/>
        </w:rPr>
        <w:t>https://cfpub.epa.gov/si/si_public_record_report.cfm?Lab=NERL&amp;dirEntryId=309417</w:t>
      </w:r>
      <w:r w:rsidRPr="004A1148">
        <w:rPr>
          <w:rFonts w:asciiTheme="minorHAnsi" w:hAnsiTheme="minorHAnsi" w:cstheme="minorHAnsi"/>
          <w:color w:val="auto"/>
          <w:szCs w:val="24"/>
        </w:rPr>
        <w:t>.]</w:t>
      </w:r>
    </w:p>
    <w:p w14:paraId="0C79E867"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Beutler, M., Wiltshire, K., Meyer, B., Moldaenke, C., Lüring, C., Meyerhöfer, M., &amp; Dau, H., 2002, A fluorometric method for the differentiation of algal populations in vivo and in situ: Photosynthesis Research, v. 72, p. 39-53,  </w:t>
      </w:r>
      <w:hyperlink r:id="rId11" w:history="1">
        <w:r w:rsidRPr="004A1148">
          <w:rPr>
            <w:rFonts w:asciiTheme="minorHAnsi" w:hAnsiTheme="minorHAnsi" w:cstheme="minorHAnsi"/>
            <w:color w:val="0000FF"/>
            <w:szCs w:val="24"/>
          </w:rPr>
          <w:t>https://doi.org/10.1023/A:1016026607048</w:t>
        </w:r>
      </w:hyperlink>
      <w:r w:rsidRPr="004A1148">
        <w:rPr>
          <w:rFonts w:asciiTheme="minorHAnsi" w:hAnsiTheme="minorHAnsi" w:cstheme="minorHAnsi"/>
          <w:color w:val="auto"/>
          <w:szCs w:val="24"/>
        </w:rPr>
        <w:t>.</w:t>
      </w:r>
    </w:p>
    <w:p w14:paraId="3BD57E3A"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Burkholder, J.B. and Wetzel, R.G., 1989, Microbial colonization on natural and artificial macrophytes in a phosphorus-limited, Hardwater Lake: Journal of Phycology, v. 25, p. 55-65, </w:t>
      </w:r>
      <w:hyperlink r:id="rId12" w:history="1">
        <w:r w:rsidRPr="004A1148">
          <w:rPr>
            <w:rFonts w:asciiTheme="minorHAnsi" w:hAnsiTheme="minorHAnsi" w:cstheme="minorHAnsi"/>
            <w:color w:val="0000FF"/>
            <w:szCs w:val="24"/>
          </w:rPr>
          <w:t>https://doi.org/10.1111/j.0022-3646.1989.00055.x</w:t>
        </w:r>
      </w:hyperlink>
      <w:r w:rsidRPr="004A1148">
        <w:rPr>
          <w:rFonts w:asciiTheme="minorHAnsi" w:hAnsiTheme="minorHAnsi" w:cstheme="minorHAnsi"/>
          <w:color w:val="auto"/>
          <w:szCs w:val="24"/>
        </w:rPr>
        <w:t>.</w:t>
      </w:r>
    </w:p>
    <w:p w14:paraId="08584380"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Carlson, R. M., 1978, Automated separation and conductimetric determination of ammonia and dissolved carbon dioxide: Analytical Chemistry, v. 50, p. 1528-1531, </w:t>
      </w:r>
      <w:hyperlink r:id="rId13" w:tooltip="DOI URL" w:history="1">
        <w:r w:rsidRPr="004A1148">
          <w:rPr>
            <w:rFonts w:asciiTheme="minorHAnsi" w:hAnsiTheme="minorHAnsi" w:cstheme="minorHAnsi"/>
            <w:color w:val="0000FF"/>
            <w:szCs w:val="24"/>
          </w:rPr>
          <w:t>https://doi.org/10.1021/ac50033a035</w:t>
        </w:r>
      </w:hyperlink>
      <w:r w:rsidRPr="004A1148">
        <w:rPr>
          <w:rFonts w:asciiTheme="minorHAnsi" w:hAnsiTheme="minorHAnsi" w:cstheme="minorHAnsi"/>
          <w:color w:val="auto"/>
          <w:szCs w:val="24"/>
        </w:rPr>
        <w:t>.</w:t>
      </w:r>
    </w:p>
    <w:p w14:paraId="3D224377"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bookmarkStart w:id="2" w:name="_Hlk110936863"/>
      <w:r w:rsidRPr="004A1148">
        <w:rPr>
          <w:rFonts w:asciiTheme="minorHAnsi" w:hAnsiTheme="minorHAnsi" w:cstheme="minorHAnsi"/>
          <w:color w:val="auto"/>
          <w:szCs w:val="24"/>
        </w:rPr>
        <w:t xml:space="preserve">Clarke, J.U., 1998, Evaluation of censored data methods to allow statistical comparisons among very small samples with below detection limit observations: Environmental Science &amp; Technology, v. 32, no. 1, p. 177-183, </w:t>
      </w:r>
      <w:hyperlink r:id="rId14" w:history="1">
        <w:r w:rsidRPr="004A1148">
          <w:rPr>
            <w:rFonts w:asciiTheme="minorHAnsi" w:hAnsiTheme="minorHAnsi" w:cstheme="minorHAnsi"/>
            <w:color w:val="0000FF"/>
            <w:szCs w:val="24"/>
          </w:rPr>
          <w:t>https://pubs.acs.org/doi/10.1021/es970521v</w:t>
        </w:r>
      </w:hyperlink>
      <w:r w:rsidRPr="004A1148">
        <w:rPr>
          <w:rFonts w:asciiTheme="minorHAnsi" w:hAnsiTheme="minorHAnsi" w:cstheme="minorHAnsi"/>
          <w:color w:val="auto"/>
          <w:szCs w:val="24"/>
        </w:rPr>
        <w:t>.</w:t>
      </w:r>
    </w:p>
    <w:bookmarkEnd w:id="2"/>
    <w:p w14:paraId="66830E62"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Downing, B.D., Bergamaschi, B.A., Kendall, C., Kraus, T.E.C., Dennis, K.J., Carter, J.A. and Von Dessonneck, T.S., 2016, Using continuous underway isotope measurements to map water residence time in hydrodynamically complex tidal environments: Environmental Science &amp; Technology, v. 50, no. 24, p. 13387-13396, </w:t>
      </w:r>
      <w:hyperlink r:id="rId15" w:history="1">
        <w:r w:rsidRPr="004A1148">
          <w:rPr>
            <w:rFonts w:asciiTheme="minorHAnsi" w:hAnsiTheme="minorHAnsi" w:cstheme="minorHAnsi"/>
            <w:color w:val="0000FF"/>
            <w:szCs w:val="24"/>
          </w:rPr>
          <w:t>https://doi.org/10.1021/acs.est.6b05745</w:t>
        </w:r>
      </w:hyperlink>
      <w:r w:rsidRPr="004A1148">
        <w:rPr>
          <w:rFonts w:asciiTheme="minorHAnsi" w:hAnsiTheme="minorHAnsi" w:cstheme="minorHAnsi"/>
          <w:color w:val="auto"/>
          <w:szCs w:val="24"/>
        </w:rPr>
        <w:t>.</w:t>
      </w:r>
    </w:p>
    <w:p w14:paraId="4CCBC3DB"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Fichot, C.G., Downing, B.D., Bergamaschi, B.A., Windham-Myers, L., Marvin-DiPasquale, M., </w:t>
      </w:r>
    </w:p>
    <w:p w14:paraId="402584DF" w14:textId="77777777" w:rsidR="00F368B8" w:rsidRPr="004A1148" w:rsidRDefault="00F368B8" w:rsidP="00F368B8">
      <w:pPr>
        <w:pBdr>
          <w:top w:val="nil"/>
          <w:left w:val="nil"/>
          <w:bottom w:val="nil"/>
          <w:right w:val="nil"/>
          <w:between w:val="nil"/>
        </w:pBdr>
        <w:spacing w:after="0" w:line="240" w:lineRule="auto"/>
        <w:ind w:left="720" w:hanging="360"/>
        <w:rPr>
          <w:rFonts w:asciiTheme="minorHAnsi" w:hAnsiTheme="minorHAnsi" w:cstheme="minorHAnsi"/>
          <w:color w:val="auto"/>
          <w:szCs w:val="24"/>
        </w:rPr>
      </w:pPr>
      <w:r w:rsidRPr="004A1148">
        <w:rPr>
          <w:rFonts w:asciiTheme="minorHAnsi" w:hAnsiTheme="minorHAnsi" w:cstheme="minorHAnsi"/>
          <w:color w:val="auto"/>
          <w:szCs w:val="24"/>
        </w:rPr>
        <w:t xml:space="preserve">Thompson, D.R. and Gierach, M.M., 2016. High-resolution remote sensing of water quality in </w:t>
      </w:r>
    </w:p>
    <w:p w14:paraId="7A673075" w14:textId="77777777" w:rsidR="00F368B8" w:rsidRPr="004A1148" w:rsidRDefault="00F368B8" w:rsidP="00F368B8">
      <w:pPr>
        <w:pBdr>
          <w:top w:val="nil"/>
          <w:left w:val="nil"/>
          <w:bottom w:val="nil"/>
          <w:right w:val="nil"/>
          <w:between w:val="nil"/>
        </w:pBdr>
        <w:spacing w:after="0" w:line="240" w:lineRule="auto"/>
        <w:ind w:left="360" w:firstLine="0"/>
        <w:rPr>
          <w:rFonts w:asciiTheme="minorHAnsi" w:hAnsiTheme="minorHAnsi" w:cstheme="minorHAnsi"/>
          <w:color w:val="auto"/>
          <w:szCs w:val="24"/>
        </w:rPr>
      </w:pPr>
      <w:r w:rsidRPr="004A1148">
        <w:rPr>
          <w:rFonts w:asciiTheme="minorHAnsi" w:hAnsiTheme="minorHAnsi" w:cstheme="minorHAnsi"/>
          <w:color w:val="auto"/>
          <w:szCs w:val="24"/>
        </w:rPr>
        <w:t xml:space="preserve">the San Francisco Bay–Delta Estuary: Environmental Science &amp; Technology, v. 50, no. 2, p .573-583, </w:t>
      </w:r>
      <w:hyperlink r:id="rId16" w:history="1">
        <w:r w:rsidRPr="004A1148">
          <w:rPr>
            <w:rFonts w:asciiTheme="minorHAnsi" w:hAnsiTheme="minorHAnsi" w:cstheme="minorHAnsi"/>
            <w:color w:val="0000FF"/>
            <w:szCs w:val="24"/>
          </w:rPr>
          <w:t>https://doi.org/10.1021/acs.est.5b03518</w:t>
        </w:r>
      </w:hyperlink>
      <w:r w:rsidRPr="004A1148">
        <w:rPr>
          <w:rFonts w:asciiTheme="minorHAnsi" w:hAnsiTheme="minorHAnsi" w:cstheme="minorHAnsi"/>
          <w:color w:val="auto"/>
          <w:szCs w:val="24"/>
        </w:rPr>
        <w:t>.</w:t>
      </w:r>
    </w:p>
    <w:p w14:paraId="63BAE35A"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Fishman, M.J., 1993, Methods of analysis by the U.S. Geological Survey National Water Quality Laboratory- Determination of inorganic and organic constituents in water and fluvial sediments: U.S. Geological Survey Open-File Report 93-125, 217 p., </w:t>
      </w:r>
      <w:hyperlink r:id="rId17" w:history="1">
        <w:r w:rsidRPr="004A1148">
          <w:rPr>
            <w:rFonts w:asciiTheme="minorHAnsi" w:hAnsiTheme="minorHAnsi" w:cstheme="minorHAnsi"/>
            <w:color w:val="0000FF"/>
            <w:szCs w:val="24"/>
          </w:rPr>
          <w:t>https://doi.org/10.3133/ofr93125</w:t>
        </w:r>
      </w:hyperlink>
      <w:r w:rsidRPr="004A1148">
        <w:rPr>
          <w:rFonts w:asciiTheme="minorHAnsi" w:hAnsiTheme="minorHAnsi" w:cstheme="minorHAnsi"/>
          <w:color w:val="auto"/>
          <w:szCs w:val="24"/>
        </w:rPr>
        <w:t>.</w:t>
      </w:r>
    </w:p>
    <w:p w14:paraId="13B0CE70"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Hansen, A.M., Kraus, T.E.C., Pellerin, B. A., Fleck, J. A., Downing, B. D., Bergamaschi, B. A., 2016, Optical properties of dissolved organic Matter (DOM): effects of biological and photolytic degradation: Limnology and Oceanography, v. 61, p. 1015-1032, </w:t>
      </w:r>
      <w:hyperlink r:id="rId18" w:history="1">
        <w:r w:rsidRPr="004A1148">
          <w:rPr>
            <w:rFonts w:asciiTheme="minorHAnsi" w:hAnsiTheme="minorHAnsi" w:cstheme="minorHAnsi"/>
            <w:color w:val="0000FF"/>
            <w:szCs w:val="24"/>
          </w:rPr>
          <w:t>https://doi.org/10.1002/lno.10270</w:t>
        </w:r>
      </w:hyperlink>
      <w:r w:rsidRPr="004A1148">
        <w:rPr>
          <w:rFonts w:asciiTheme="minorHAnsi" w:hAnsiTheme="minorHAnsi" w:cstheme="minorHAnsi"/>
          <w:color w:val="auto"/>
          <w:szCs w:val="24"/>
        </w:rPr>
        <w:t>.</w:t>
      </w:r>
    </w:p>
    <w:p w14:paraId="00EC50E5"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Hansen, A. M., Fleck, J. A., Kraus, T. E. C., Downing, B. D., Von Dessonneck, T., Bergamaschi, B. A., 2018, Procedures for using the Horiba Scientific Aqualog® fluorometer to measure </w:t>
      </w:r>
      <w:r w:rsidRPr="004A1148">
        <w:rPr>
          <w:rFonts w:asciiTheme="minorHAnsi" w:hAnsiTheme="minorHAnsi" w:cstheme="minorHAnsi"/>
          <w:color w:val="auto"/>
          <w:szCs w:val="24"/>
        </w:rPr>
        <w:lastRenderedPageBreak/>
        <w:t xml:space="preserve">absorbance and fluorescence from dissolved organic matter: U. S. Geological Survey Open-File Report 2018-1096, 31 p., </w:t>
      </w:r>
      <w:hyperlink r:id="rId19" w:history="1">
        <w:r w:rsidRPr="004A1148">
          <w:rPr>
            <w:rFonts w:asciiTheme="minorHAnsi" w:hAnsiTheme="minorHAnsi" w:cstheme="minorHAnsi"/>
            <w:color w:val="0000FF"/>
            <w:szCs w:val="24"/>
          </w:rPr>
          <w:t>https://doi.org/10.3133/ofr20181096</w:t>
        </w:r>
      </w:hyperlink>
      <w:r w:rsidRPr="004A1148">
        <w:rPr>
          <w:rFonts w:asciiTheme="minorHAnsi" w:hAnsiTheme="minorHAnsi" w:cstheme="minorHAnsi"/>
          <w:color w:val="auto"/>
          <w:szCs w:val="24"/>
        </w:rPr>
        <w:t>.</w:t>
      </w:r>
    </w:p>
    <w:p w14:paraId="04E80922" w14:textId="77777777" w:rsidR="00F368B8" w:rsidRPr="004A1148" w:rsidRDefault="00F368B8" w:rsidP="00F368B8">
      <w:pPr>
        <w:pBdr>
          <w:top w:val="nil"/>
          <w:left w:val="nil"/>
          <w:bottom w:val="nil"/>
          <w:right w:val="nil"/>
          <w:between w:val="nil"/>
        </w:pBdr>
        <w:spacing w:after="0" w:line="240" w:lineRule="auto"/>
        <w:ind w:left="360" w:hanging="360"/>
        <w:rPr>
          <w:color w:val="auto"/>
          <w:szCs w:val="24"/>
        </w:rPr>
      </w:pPr>
      <w:r w:rsidRPr="004A1148">
        <w:rPr>
          <w:color w:val="auto"/>
          <w:szCs w:val="24"/>
        </w:rPr>
        <w:t xml:space="preserve">Hillebrand, H., Dürselen, C., Kirschtel, D., 2002, Biovolume calculation for pelagic and benthic microalgae: Journal of Phycology v. 35, p. 403-424, </w:t>
      </w:r>
      <w:hyperlink r:id="rId20" w:history="1">
        <w:r w:rsidRPr="004A1148">
          <w:rPr>
            <w:color w:val="0000FF"/>
            <w:szCs w:val="24"/>
          </w:rPr>
          <w:t>https://doi.org/10.1046/j.1529-8817.1999.3520403.x</w:t>
        </w:r>
      </w:hyperlink>
      <w:r w:rsidRPr="004A1148">
        <w:rPr>
          <w:color w:val="auto"/>
          <w:szCs w:val="24"/>
        </w:rPr>
        <w:t>.</w:t>
      </w:r>
    </w:p>
    <w:p w14:paraId="54B309B6"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Jabusch, T., Bresnahan, P., Trowbridge, P., Novick, E., Wong, A., Salomon, M. and Senn, D., 2016, Summary and evaluation of Delta subregions for nutrient monitoring and assessment: Richmond, Calif. San Francisco Estuary Institute, Contribution No. 789, </w:t>
      </w:r>
      <w:hyperlink r:id="rId21" w:history="1">
        <w:r w:rsidRPr="004A1148">
          <w:rPr>
            <w:rFonts w:asciiTheme="minorHAnsi" w:hAnsiTheme="minorHAnsi" w:cstheme="minorHAnsi"/>
            <w:color w:val="0000FF"/>
            <w:szCs w:val="24"/>
          </w:rPr>
          <w:t>https://www.sfei.org/documents/delta-subregions</w:t>
        </w:r>
      </w:hyperlink>
      <w:r w:rsidRPr="004A1148">
        <w:rPr>
          <w:rFonts w:asciiTheme="minorHAnsi" w:hAnsiTheme="minorHAnsi" w:cstheme="minorHAnsi"/>
          <w:color w:val="auto"/>
          <w:szCs w:val="24"/>
        </w:rPr>
        <w:t>.</w:t>
      </w:r>
    </w:p>
    <w:p w14:paraId="73885E78"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Jordahl, K., 2014, GeoPandas: Python tools for geographic data, accessed </w:t>
      </w:r>
      <w:bookmarkStart w:id="3" w:name="_Hlk103956650"/>
      <w:r w:rsidRPr="004A1148">
        <w:rPr>
          <w:rFonts w:asciiTheme="minorHAnsi" w:hAnsiTheme="minorHAnsi" w:cstheme="minorHAnsi"/>
          <w:color w:val="auto"/>
          <w:szCs w:val="24"/>
        </w:rPr>
        <w:t>December 2, 2020</w:t>
      </w:r>
      <w:bookmarkEnd w:id="3"/>
      <w:r w:rsidRPr="004A1148">
        <w:rPr>
          <w:rFonts w:asciiTheme="minorHAnsi" w:hAnsiTheme="minorHAnsi" w:cstheme="minorHAnsi"/>
          <w:color w:val="auto"/>
          <w:szCs w:val="24"/>
        </w:rPr>
        <w:t xml:space="preserve">, at </w:t>
      </w:r>
      <w:hyperlink r:id="rId22" w:history="1">
        <w:r w:rsidRPr="004A1148">
          <w:rPr>
            <w:rFonts w:asciiTheme="minorHAnsi" w:hAnsiTheme="minorHAnsi" w:cstheme="minorHAnsi"/>
            <w:color w:val="0000FF"/>
            <w:szCs w:val="24"/>
          </w:rPr>
          <w:t>https://geopandas.org/en/stable/</w:t>
        </w:r>
      </w:hyperlink>
      <w:r w:rsidRPr="004A1148">
        <w:rPr>
          <w:rFonts w:asciiTheme="minorHAnsi" w:hAnsiTheme="minorHAnsi" w:cstheme="minorHAnsi"/>
          <w:color w:val="auto"/>
          <w:szCs w:val="24"/>
        </w:rPr>
        <w:t>.</w:t>
      </w:r>
    </w:p>
    <w:p w14:paraId="519D09E5"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Kimmerer, W., Wilkerson, F., Downing, B., Dugdale, R., Gross, E.S., Kayfetz, K., Khanna, S., Parker, A.E. and Thompson, J., 2019, Effects of drought and the emergency drought barrier on the ecosystem of the California Delta: San Francisco Estuary and Watershed Science, v. 17, no. 3, </w:t>
      </w:r>
      <w:hyperlink r:id="rId23" w:history="1">
        <w:r w:rsidRPr="004A1148">
          <w:rPr>
            <w:rFonts w:asciiTheme="minorHAnsi" w:hAnsiTheme="minorHAnsi" w:cstheme="minorHAnsi"/>
            <w:color w:val="0000FF"/>
            <w:szCs w:val="24"/>
          </w:rPr>
          <w:t>https://doi.org/10.15447/sfews.2019v17iss3art2</w:t>
        </w:r>
      </w:hyperlink>
      <w:r w:rsidRPr="004A1148">
        <w:rPr>
          <w:rFonts w:asciiTheme="minorHAnsi" w:hAnsiTheme="minorHAnsi" w:cstheme="minorHAnsi"/>
          <w:color w:val="auto"/>
          <w:szCs w:val="24"/>
        </w:rPr>
        <w:t>.</w:t>
      </w:r>
    </w:p>
    <w:p w14:paraId="10916A0A" w14:textId="77777777" w:rsidR="00F368B8" w:rsidRPr="004A1148" w:rsidRDefault="00F368B8" w:rsidP="00F368B8">
      <w:pPr>
        <w:pBdr>
          <w:top w:val="nil"/>
          <w:left w:val="nil"/>
          <w:bottom w:val="nil"/>
          <w:right w:val="nil"/>
          <w:between w:val="nil"/>
        </w:pBdr>
        <w:spacing w:after="0" w:line="240" w:lineRule="auto"/>
        <w:ind w:left="360" w:hanging="360"/>
        <w:rPr>
          <w:color w:val="auto"/>
          <w:szCs w:val="24"/>
        </w:rPr>
      </w:pPr>
      <w:bookmarkStart w:id="4" w:name="_Hlk103013388"/>
      <w:r w:rsidRPr="004A1148">
        <w:rPr>
          <w:color w:val="auto"/>
          <w:szCs w:val="24"/>
        </w:rPr>
        <w:t xml:space="preserve">Lund, J. W. G., Kipling, C., Le Cren, E. D., 1958, The inverted microscope method of estimating algal numbers and the statistical basis of estimations by counting: Hydrobiologia, v. 11, p. 143-170. </w:t>
      </w:r>
      <w:hyperlink r:id="rId24" w:history="1">
        <w:r w:rsidRPr="004A1148">
          <w:rPr>
            <w:color w:val="0000FF"/>
            <w:szCs w:val="24"/>
          </w:rPr>
          <w:t>https://doi.org/10.1007/BF00007865</w:t>
        </w:r>
      </w:hyperlink>
      <w:r w:rsidRPr="004A1148">
        <w:rPr>
          <w:color w:val="auto"/>
          <w:szCs w:val="24"/>
        </w:rPr>
        <w:t>.</w:t>
      </w:r>
    </w:p>
    <w:p w14:paraId="359DBEED"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McKinney, W., 2010, Data structures for statistical computing in python: Proceedings of the 9th Python in Science Conference, v. 445, p. 51–56, </w:t>
      </w:r>
      <w:hyperlink r:id="rId25" w:history="1">
        <w:r w:rsidRPr="004A1148">
          <w:rPr>
            <w:rFonts w:asciiTheme="minorHAnsi" w:hAnsiTheme="minorHAnsi" w:cstheme="minorHAnsi"/>
            <w:color w:val="0000FF"/>
            <w:szCs w:val="24"/>
          </w:rPr>
          <w:t>https://doi.org/10.25080/Majora-92bf1922-00a</w:t>
        </w:r>
      </w:hyperlink>
      <w:r w:rsidRPr="004A1148">
        <w:rPr>
          <w:rFonts w:asciiTheme="minorHAnsi" w:hAnsiTheme="minorHAnsi" w:cstheme="minorHAnsi"/>
          <w:color w:val="auto"/>
          <w:szCs w:val="24"/>
        </w:rPr>
        <w:t>.</w:t>
      </w:r>
    </w:p>
    <w:p w14:paraId="7FB253E6"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McNabb, C. D., 1960, Enumeration of freshwater phytoplankton concentrated on the membrane filter: Limnology and Oceanography, v. 5, p. 57-61, </w:t>
      </w:r>
      <w:hyperlink r:id="rId26" w:history="1">
        <w:r w:rsidRPr="004A1148">
          <w:rPr>
            <w:rFonts w:asciiTheme="minorHAnsi" w:hAnsiTheme="minorHAnsi" w:cstheme="minorHAnsi"/>
            <w:color w:val="0000FF"/>
            <w:szCs w:val="24"/>
          </w:rPr>
          <w:t>https://doi.org/10.4319/lo.1960.5.1.0057</w:t>
        </w:r>
      </w:hyperlink>
      <w:r w:rsidRPr="004A1148">
        <w:rPr>
          <w:rFonts w:asciiTheme="minorHAnsi" w:hAnsiTheme="minorHAnsi" w:cstheme="minorHAnsi"/>
          <w:color w:val="auto"/>
          <w:szCs w:val="24"/>
        </w:rPr>
        <w:t>.</w:t>
      </w:r>
    </w:p>
    <w:bookmarkEnd w:id="4"/>
    <w:p w14:paraId="77499B88"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Murrell, M.C. and Lores, E.M., 2004, Phytoplankton and zooplankton seasonal dynamics in a subtropical estuary: importance of cyanobacteria: Journal of Plankton Research, v. 26, p. 371-382, </w:t>
      </w:r>
      <w:hyperlink r:id="rId27" w:history="1">
        <w:r w:rsidRPr="004A1148">
          <w:rPr>
            <w:rFonts w:asciiTheme="minorHAnsi" w:hAnsiTheme="minorHAnsi" w:cstheme="minorHAnsi"/>
            <w:color w:val="0000FF"/>
            <w:szCs w:val="24"/>
          </w:rPr>
          <w:t>https://doi.org/10.1093/plankt/fbh038</w:t>
        </w:r>
      </w:hyperlink>
      <w:r w:rsidRPr="004A1148">
        <w:rPr>
          <w:rFonts w:asciiTheme="minorHAnsi" w:hAnsiTheme="minorHAnsi" w:cstheme="minorHAnsi"/>
          <w:color w:val="auto"/>
          <w:szCs w:val="24"/>
        </w:rPr>
        <w:t>.</w:t>
      </w:r>
    </w:p>
    <w:p w14:paraId="5DE0AFB5"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Patton, C.J., Kryskalla. J.R., 2003, Methods of analysis by the U.S. Geological Survey National Water Quality Laboratory-Evaluation of alkaline persulfate digestion as an alternative to Kjeldahl digestion for determination of total and dissolved nitrogen and phosphorus in water: U.S. Geological Survey Water-Resources Investigations Report 2003-4174, 33 p., </w:t>
      </w:r>
      <w:hyperlink r:id="rId28" w:history="1">
        <w:r w:rsidRPr="004A1148">
          <w:rPr>
            <w:rFonts w:asciiTheme="minorHAnsi" w:hAnsiTheme="minorHAnsi" w:cstheme="minorHAnsi"/>
            <w:color w:val="0000FF"/>
            <w:szCs w:val="24"/>
          </w:rPr>
          <w:t>https://doi.org/10.3133/wri034174</w:t>
        </w:r>
      </w:hyperlink>
      <w:r w:rsidRPr="004A1148">
        <w:rPr>
          <w:rFonts w:asciiTheme="minorHAnsi" w:hAnsiTheme="minorHAnsi" w:cstheme="minorHAnsi"/>
          <w:color w:val="auto"/>
          <w:szCs w:val="24"/>
        </w:rPr>
        <w:t>.</w:t>
      </w:r>
    </w:p>
    <w:p w14:paraId="0FC1A3F9"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Patton, C.J. and Kryskalla, J.R., 2011, Colorimetric determination of nitrate plus nitrite in water by enzymatic reduction, automated discrete analyzer methods: U.S. Geological Survey Techniques and Methods 5B-8, 34 p., </w:t>
      </w:r>
      <w:hyperlink r:id="rId29" w:history="1">
        <w:r w:rsidRPr="004A1148">
          <w:rPr>
            <w:rFonts w:asciiTheme="minorHAnsi" w:hAnsiTheme="minorHAnsi" w:cstheme="minorHAnsi"/>
            <w:color w:val="0000FF"/>
            <w:szCs w:val="24"/>
          </w:rPr>
          <w:t>https://doi.org/10.3133/tm5B8</w:t>
        </w:r>
      </w:hyperlink>
      <w:r w:rsidRPr="004A1148">
        <w:rPr>
          <w:rFonts w:asciiTheme="minorHAnsi" w:hAnsiTheme="minorHAnsi" w:cstheme="minorHAnsi"/>
          <w:color w:val="auto"/>
          <w:szCs w:val="24"/>
        </w:rPr>
        <w:t>.</w:t>
      </w:r>
    </w:p>
    <w:p w14:paraId="12BC4C8B"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Patton, C.J. and Truitt, E.P., 1992, Methods of analysis by the U.S. Geological Survey National Water Quality Laboratory-Determination of the total phosphorus by a Kjeldahl digestion method and an automated colorimetric finish that includes dialysis: US Geological Survey Open-File Report 92-146, 39 p., </w:t>
      </w:r>
      <w:hyperlink r:id="rId30" w:history="1">
        <w:r w:rsidRPr="004A1148">
          <w:rPr>
            <w:rFonts w:asciiTheme="minorHAnsi" w:hAnsiTheme="minorHAnsi" w:cstheme="minorHAnsi"/>
            <w:color w:val="0000FF"/>
            <w:szCs w:val="24"/>
          </w:rPr>
          <w:t>https://doi.org/10.3133/ofr92146</w:t>
        </w:r>
      </w:hyperlink>
      <w:r w:rsidRPr="004A1148">
        <w:rPr>
          <w:rFonts w:asciiTheme="minorHAnsi" w:hAnsiTheme="minorHAnsi" w:cstheme="minorHAnsi"/>
          <w:color w:val="auto"/>
          <w:szCs w:val="24"/>
        </w:rPr>
        <w:t>.</w:t>
      </w:r>
    </w:p>
    <w:p w14:paraId="5CD1361A"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Pellerin, B.A., Bergamaschi, B.A., Downing, B.D., Saraceno, J.F., Garrett, J.A., and Olsen, L.D., 2013, Optical techniques for the determination of nitrate in environmental waters: guidelines for instrument selection, operation, deployment, maintenance, quality assurance, and data reporting: U.S. Geological Survey Techniques and Methods 1–D5, 37 p., </w:t>
      </w:r>
      <w:hyperlink r:id="rId31" w:history="1">
        <w:r w:rsidRPr="004A1148">
          <w:rPr>
            <w:rFonts w:asciiTheme="minorHAnsi" w:hAnsiTheme="minorHAnsi" w:cstheme="minorHAnsi"/>
            <w:color w:val="0000FF"/>
            <w:szCs w:val="24"/>
          </w:rPr>
          <w:t>https://doi.org/10.3133/tm1D5</w:t>
        </w:r>
      </w:hyperlink>
      <w:r w:rsidRPr="004A1148">
        <w:rPr>
          <w:rFonts w:asciiTheme="minorHAnsi" w:hAnsiTheme="minorHAnsi" w:cstheme="minorHAnsi"/>
          <w:color w:val="auto"/>
          <w:szCs w:val="24"/>
        </w:rPr>
        <w:t>.</w:t>
      </w:r>
    </w:p>
    <w:p w14:paraId="611579D5"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lastRenderedPageBreak/>
        <w:t xml:space="preserve">Potter, B. and Wimsatt, J., 2012, USEPA method 415.3: quantifying TOC, DOC, and SUVA: Journal American Water Works Association, v. 104, 6, p. E358-E369, </w:t>
      </w:r>
      <w:hyperlink r:id="rId32" w:history="1">
        <w:r w:rsidRPr="004A1148">
          <w:rPr>
            <w:rFonts w:asciiTheme="minorHAnsi" w:hAnsiTheme="minorHAnsi" w:cstheme="minorHAnsi"/>
            <w:color w:val="0000FF"/>
            <w:szCs w:val="24"/>
          </w:rPr>
          <w:t>https://doi.org/10.5942/jawwa.2012.104.0086</w:t>
        </w:r>
      </w:hyperlink>
      <w:r w:rsidRPr="004A1148">
        <w:rPr>
          <w:rFonts w:asciiTheme="minorHAnsi" w:hAnsiTheme="minorHAnsi" w:cstheme="minorHAnsi"/>
          <w:color w:val="auto"/>
          <w:szCs w:val="24"/>
        </w:rPr>
        <w:t>.</w:t>
      </w:r>
    </w:p>
    <w:p w14:paraId="0FEFB9EC"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Snyder, L., Potter, J.D., and McDowell, W.H., 2018. An evaluation of nitrate, fDOM, and turbidity sensors in New Hampshire streams: Water Resources Research, v. 54, no. 3, p. 2466-2479, </w:t>
      </w:r>
      <w:hyperlink r:id="rId33" w:history="1">
        <w:r w:rsidRPr="004A1148">
          <w:rPr>
            <w:rFonts w:asciiTheme="minorHAnsi" w:hAnsiTheme="minorHAnsi" w:cstheme="minorHAnsi"/>
            <w:color w:val="0000FF"/>
            <w:szCs w:val="24"/>
          </w:rPr>
          <w:t>https://doi.org/10.1002/2017WR020678</w:t>
        </w:r>
      </w:hyperlink>
      <w:r w:rsidRPr="004A1148">
        <w:rPr>
          <w:rFonts w:asciiTheme="minorHAnsi" w:hAnsiTheme="minorHAnsi" w:cstheme="minorHAnsi"/>
          <w:color w:val="auto"/>
          <w:szCs w:val="24"/>
        </w:rPr>
        <w:t>.</w:t>
      </w:r>
    </w:p>
    <w:p w14:paraId="7ABC4888"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Stumpner, E. B., Bergamaschi, B. A., Kraus, T. E. C., Parker, A. E., Wilkerson, F. P., Downing, B. D., Dugdale, R. C. Murrell, M. C., Carpenter, K. D., Orlando, J. L., and Kendall, C., 2020, Spatial variability of phytoplankton in a shallow tidal freshwater system reveals complex controls on abundance and community structure: Science of The Total Environment, v. 700, no. 134392, 17 p., </w:t>
      </w:r>
      <w:hyperlink r:id="rId34" w:history="1">
        <w:r w:rsidRPr="004A1148">
          <w:rPr>
            <w:rFonts w:asciiTheme="minorHAnsi" w:hAnsiTheme="minorHAnsi" w:cstheme="minorHAnsi"/>
            <w:color w:val="0000FF"/>
            <w:szCs w:val="24"/>
          </w:rPr>
          <w:t>https://doi.org/10.1016/j.scitotenv.2019.134392</w:t>
        </w:r>
      </w:hyperlink>
      <w:r w:rsidRPr="004A1148">
        <w:rPr>
          <w:rFonts w:asciiTheme="minorHAnsi" w:hAnsiTheme="minorHAnsi" w:cstheme="minorHAnsi"/>
          <w:color w:val="auto"/>
          <w:szCs w:val="24"/>
        </w:rPr>
        <w:t>.</w:t>
      </w:r>
    </w:p>
    <w:p w14:paraId="24377348" w14:textId="77777777"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r w:rsidRPr="004A1148">
        <w:rPr>
          <w:rFonts w:asciiTheme="minorHAnsi" w:hAnsiTheme="minorHAnsi" w:cstheme="minorHAnsi"/>
          <w:color w:val="auto"/>
          <w:szCs w:val="24"/>
        </w:rPr>
        <w:t xml:space="preserve">Terzopoulos, D. and Witkin, A., 1988, Physically based models with rigid and deformable components: IEEE Computer Graphics and Applications, v. 8, no. 6, p. 41-51, </w:t>
      </w:r>
      <w:hyperlink r:id="rId35" w:history="1">
        <w:r w:rsidRPr="004A1148">
          <w:rPr>
            <w:rFonts w:asciiTheme="minorHAnsi" w:hAnsiTheme="minorHAnsi" w:cstheme="minorHAnsi"/>
            <w:color w:val="0000FF"/>
            <w:szCs w:val="24"/>
          </w:rPr>
          <w:t>https://doi.org/10.1109/38.20317</w:t>
        </w:r>
      </w:hyperlink>
      <w:r w:rsidRPr="004A1148">
        <w:rPr>
          <w:rFonts w:asciiTheme="minorHAnsi" w:hAnsiTheme="minorHAnsi" w:cstheme="minorHAnsi"/>
          <w:color w:val="auto"/>
          <w:szCs w:val="24"/>
        </w:rPr>
        <w:t>.</w:t>
      </w:r>
    </w:p>
    <w:p w14:paraId="7E4E5DF4" w14:textId="25CA210B" w:rsidR="00F368B8" w:rsidRPr="000175E1" w:rsidRDefault="00F368B8" w:rsidP="000175E1">
      <w:pPr>
        <w:spacing w:line="250" w:lineRule="auto"/>
        <w:ind w:left="346" w:right="58" w:hanging="360"/>
        <w:rPr>
          <w:rFonts w:asciiTheme="minorHAnsi" w:hAnsiTheme="minorHAnsi" w:cstheme="minorHAnsi"/>
          <w:szCs w:val="24"/>
          <w:highlight w:val="yellow"/>
        </w:rPr>
      </w:pPr>
      <w:bookmarkStart w:id="5" w:name="_Hlk129779624"/>
      <w:r w:rsidRPr="000175E1">
        <w:rPr>
          <w:rFonts w:asciiTheme="minorHAnsi" w:hAnsiTheme="minorHAnsi" w:cstheme="minorHAnsi"/>
          <w:szCs w:val="24"/>
        </w:rPr>
        <w:t>Thompson, L.</w:t>
      </w:r>
      <w:r w:rsidR="00AF29ED" w:rsidRPr="000175E1">
        <w:rPr>
          <w:rFonts w:asciiTheme="minorHAnsi" w:hAnsiTheme="minorHAnsi" w:cstheme="minorHAnsi"/>
          <w:szCs w:val="24"/>
        </w:rPr>
        <w:t>, Mussen, T.D., Cook, M., Nordin, J., Noss, J., Bigler, U., Ramamoorthy, S., Berg, G.M., Driscoll, S., Herrmann</w:t>
      </w:r>
      <w:r w:rsidR="00AF29ED">
        <w:rPr>
          <w:rFonts w:asciiTheme="minorHAnsi" w:hAnsiTheme="minorHAnsi" w:cstheme="minorHAnsi"/>
          <w:szCs w:val="24"/>
        </w:rPr>
        <w:t xml:space="preserve">, </w:t>
      </w:r>
      <w:r w:rsidR="00AF29ED" w:rsidRPr="00AF29ED">
        <w:rPr>
          <w:rFonts w:asciiTheme="minorHAnsi" w:hAnsiTheme="minorHAnsi" w:cstheme="minorHAnsi"/>
          <w:szCs w:val="24"/>
        </w:rPr>
        <w:t>C.</w:t>
      </w:r>
      <w:r w:rsidR="00AF29ED">
        <w:rPr>
          <w:rFonts w:asciiTheme="minorHAnsi" w:hAnsiTheme="minorHAnsi" w:cstheme="minorHAnsi"/>
          <w:szCs w:val="24"/>
        </w:rPr>
        <w:t xml:space="preserve">, </w:t>
      </w:r>
      <w:r w:rsidR="00AF29ED" w:rsidRPr="00AF29ED">
        <w:rPr>
          <w:rFonts w:asciiTheme="minorHAnsi" w:hAnsiTheme="minorHAnsi" w:cstheme="minorHAnsi"/>
          <w:szCs w:val="24"/>
        </w:rPr>
        <w:t>Kimmerer</w:t>
      </w:r>
      <w:r w:rsidR="00AF29ED">
        <w:rPr>
          <w:rFonts w:asciiTheme="minorHAnsi" w:hAnsiTheme="minorHAnsi" w:cstheme="minorHAnsi"/>
          <w:szCs w:val="24"/>
        </w:rPr>
        <w:t xml:space="preserve">, </w:t>
      </w:r>
      <w:r w:rsidR="00AF29ED" w:rsidRPr="00AF29ED">
        <w:rPr>
          <w:rFonts w:asciiTheme="minorHAnsi" w:hAnsiTheme="minorHAnsi" w:cstheme="minorHAnsi"/>
          <w:szCs w:val="24"/>
        </w:rPr>
        <w:t>W.</w:t>
      </w:r>
      <w:r w:rsidR="00AF29ED">
        <w:rPr>
          <w:rFonts w:asciiTheme="minorHAnsi" w:hAnsiTheme="minorHAnsi" w:cstheme="minorHAnsi"/>
          <w:szCs w:val="24"/>
        </w:rPr>
        <w:t xml:space="preserve">, </w:t>
      </w:r>
      <w:r w:rsidR="000175E1" w:rsidRPr="000175E1">
        <w:rPr>
          <w:rFonts w:asciiTheme="minorHAnsi" w:hAnsiTheme="minorHAnsi" w:cstheme="minorHAnsi"/>
          <w:szCs w:val="24"/>
        </w:rPr>
        <w:t>Ignoffo</w:t>
      </w:r>
      <w:r w:rsidR="000175E1">
        <w:rPr>
          <w:rFonts w:asciiTheme="minorHAnsi" w:hAnsiTheme="minorHAnsi" w:cstheme="minorHAnsi"/>
          <w:szCs w:val="24"/>
        </w:rPr>
        <w:t xml:space="preserve">, </w:t>
      </w:r>
      <w:r w:rsidR="000175E1" w:rsidRPr="000175E1">
        <w:rPr>
          <w:rFonts w:asciiTheme="minorHAnsi" w:hAnsiTheme="minorHAnsi" w:cstheme="minorHAnsi"/>
          <w:szCs w:val="24"/>
        </w:rPr>
        <w:t>T.</w:t>
      </w:r>
      <w:r w:rsidR="000175E1">
        <w:rPr>
          <w:rFonts w:asciiTheme="minorHAnsi" w:hAnsiTheme="minorHAnsi" w:cstheme="minorHAnsi"/>
          <w:szCs w:val="24"/>
        </w:rPr>
        <w:t xml:space="preserve">, </w:t>
      </w:r>
      <w:r w:rsidR="000175E1" w:rsidRPr="000175E1">
        <w:rPr>
          <w:rFonts w:asciiTheme="minorHAnsi" w:hAnsiTheme="minorHAnsi" w:cstheme="minorHAnsi"/>
          <w:szCs w:val="24"/>
        </w:rPr>
        <w:t>Kraus, T.E.C.,</w:t>
      </w:r>
      <w:r w:rsidR="000175E1">
        <w:rPr>
          <w:rFonts w:asciiTheme="minorHAnsi" w:hAnsiTheme="minorHAnsi" w:cstheme="minorHAnsi"/>
          <w:szCs w:val="24"/>
        </w:rPr>
        <w:t xml:space="preserve"> </w:t>
      </w:r>
      <w:r w:rsidR="000175E1" w:rsidRPr="000175E1">
        <w:rPr>
          <w:rFonts w:asciiTheme="minorHAnsi" w:hAnsiTheme="minorHAnsi" w:cstheme="minorHAnsi"/>
          <w:szCs w:val="24"/>
        </w:rPr>
        <w:t>Fackrell</w:t>
      </w:r>
      <w:r w:rsidR="000175E1">
        <w:rPr>
          <w:rFonts w:asciiTheme="minorHAnsi" w:hAnsiTheme="minorHAnsi" w:cstheme="minorHAnsi"/>
          <w:szCs w:val="24"/>
        </w:rPr>
        <w:t xml:space="preserve">, </w:t>
      </w:r>
      <w:r w:rsidR="000175E1" w:rsidRPr="000175E1">
        <w:rPr>
          <w:rFonts w:asciiTheme="minorHAnsi" w:hAnsiTheme="minorHAnsi" w:cstheme="minorHAnsi"/>
          <w:szCs w:val="24"/>
        </w:rPr>
        <w:t>J.</w:t>
      </w:r>
      <w:r w:rsidR="000175E1">
        <w:rPr>
          <w:rFonts w:asciiTheme="minorHAnsi" w:hAnsiTheme="minorHAnsi" w:cstheme="minorHAnsi"/>
          <w:szCs w:val="24"/>
        </w:rPr>
        <w:t xml:space="preserve">, </w:t>
      </w:r>
      <w:r w:rsidR="000175E1" w:rsidRPr="000175E1">
        <w:rPr>
          <w:rFonts w:asciiTheme="minorHAnsi" w:hAnsiTheme="minorHAnsi" w:cstheme="minorHAnsi"/>
          <w:szCs w:val="24"/>
        </w:rPr>
        <w:t>Bergamaschi</w:t>
      </w:r>
      <w:r w:rsidR="000175E1">
        <w:rPr>
          <w:rFonts w:asciiTheme="minorHAnsi" w:hAnsiTheme="minorHAnsi" w:cstheme="minorHAnsi"/>
          <w:szCs w:val="24"/>
        </w:rPr>
        <w:t xml:space="preserve">, </w:t>
      </w:r>
      <w:r w:rsidR="000175E1" w:rsidRPr="000175E1">
        <w:rPr>
          <w:rFonts w:asciiTheme="minorHAnsi" w:hAnsiTheme="minorHAnsi" w:cstheme="minorHAnsi"/>
          <w:szCs w:val="24"/>
        </w:rPr>
        <w:t>B.</w:t>
      </w:r>
      <w:r w:rsidR="000175E1">
        <w:rPr>
          <w:rFonts w:asciiTheme="minorHAnsi" w:hAnsiTheme="minorHAnsi" w:cstheme="minorHAnsi"/>
          <w:szCs w:val="24"/>
        </w:rPr>
        <w:t xml:space="preserve">, </w:t>
      </w:r>
      <w:r w:rsidR="000175E1" w:rsidRPr="000175E1">
        <w:rPr>
          <w:rFonts w:asciiTheme="minorHAnsi" w:hAnsiTheme="minorHAnsi" w:cstheme="minorHAnsi"/>
          <w:szCs w:val="24"/>
        </w:rPr>
        <w:t>Guerin</w:t>
      </w:r>
      <w:r w:rsidR="000175E1">
        <w:rPr>
          <w:rFonts w:asciiTheme="minorHAnsi" w:hAnsiTheme="minorHAnsi" w:cstheme="minorHAnsi"/>
          <w:szCs w:val="24"/>
        </w:rPr>
        <w:t xml:space="preserve">, </w:t>
      </w:r>
      <w:r w:rsidR="000175E1" w:rsidRPr="000175E1">
        <w:rPr>
          <w:rFonts w:asciiTheme="minorHAnsi" w:hAnsiTheme="minorHAnsi" w:cstheme="minorHAnsi"/>
          <w:szCs w:val="24"/>
        </w:rPr>
        <w:t>M.</w:t>
      </w:r>
      <w:r w:rsidR="000175E1">
        <w:rPr>
          <w:rFonts w:asciiTheme="minorHAnsi" w:hAnsiTheme="minorHAnsi" w:cstheme="minorHAnsi"/>
          <w:szCs w:val="24"/>
        </w:rPr>
        <w:t xml:space="preserve">, and </w:t>
      </w:r>
      <w:r w:rsidR="000175E1" w:rsidRPr="000175E1">
        <w:rPr>
          <w:rFonts w:asciiTheme="minorHAnsi" w:hAnsiTheme="minorHAnsi" w:cstheme="minorHAnsi"/>
          <w:szCs w:val="24"/>
        </w:rPr>
        <w:t xml:space="preserve">Rachiele, R., 2023, </w:t>
      </w:r>
      <w:r w:rsidRPr="000175E1">
        <w:rPr>
          <w:rFonts w:asciiTheme="minorHAnsi" w:hAnsiTheme="minorHAnsi" w:cstheme="minorHAnsi"/>
          <w:szCs w:val="24"/>
        </w:rPr>
        <w:t>Sacramento River nutrient change study</w:t>
      </w:r>
      <w:r w:rsidRPr="000175E1">
        <w:rPr>
          <w:rFonts w:asciiTheme="minorHAnsi" w:hAnsiTheme="minorHAnsi" w:cstheme="minorHAnsi"/>
          <w:b/>
          <w:bCs/>
          <w:szCs w:val="24"/>
        </w:rPr>
        <w:t>. </w:t>
      </w:r>
      <w:r w:rsidRPr="000175E1">
        <w:rPr>
          <w:rFonts w:asciiTheme="minorHAnsi" w:hAnsiTheme="minorHAnsi" w:cstheme="minorHAnsi"/>
          <w:szCs w:val="24"/>
        </w:rPr>
        <w:t xml:space="preserve">A report to the Delta Regional Monitoring Program, </w:t>
      </w:r>
      <w:r w:rsidR="00EE0337" w:rsidRPr="000175E1">
        <w:rPr>
          <w:rFonts w:asciiTheme="minorHAnsi" w:hAnsiTheme="minorHAnsi" w:cstheme="minorHAnsi"/>
          <w:szCs w:val="24"/>
        </w:rPr>
        <w:t>S</w:t>
      </w:r>
      <w:r w:rsidRPr="000175E1">
        <w:rPr>
          <w:rFonts w:asciiTheme="minorHAnsi" w:hAnsiTheme="minorHAnsi" w:cstheme="minorHAnsi"/>
          <w:szCs w:val="24"/>
        </w:rPr>
        <w:t xml:space="preserve">tate </w:t>
      </w:r>
      <w:r w:rsidR="00EE0337" w:rsidRPr="000175E1">
        <w:rPr>
          <w:rFonts w:asciiTheme="minorHAnsi" w:hAnsiTheme="minorHAnsi" w:cstheme="minorHAnsi"/>
          <w:szCs w:val="24"/>
        </w:rPr>
        <w:t>W</w:t>
      </w:r>
      <w:r w:rsidRPr="000175E1">
        <w:rPr>
          <w:rFonts w:asciiTheme="minorHAnsi" w:hAnsiTheme="minorHAnsi" w:cstheme="minorHAnsi"/>
          <w:szCs w:val="24"/>
        </w:rPr>
        <w:t xml:space="preserve">ater </w:t>
      </w:r>
      <w:r w:rsidR="00EE0337" w:rsidRPr="000175E1">
        <w:rPr>
          <w:rFonts w:asciiTheme="minorHAnsi" w:hAnsiTheme="minorHAnsi" w:cstheme="minorHAnsi"/>
          <w:szCs w:val="24"/>
        </w:rPr>
        <w:t>C</w:t>
      </w:r>
      <w:r w:rsidRPr="000175E1">
        <w:rPr>
          <w:rFonts w:asciiTheme="minorHAnsi" w:hAnsiTheme="minorHAnsi" w:cstheme="minorHAnsi"/>
          <w:szCs w:val="24"/>
        </w:rPr>
        <w:t xml:space="preserve">ontractors, and U.S. Bureau of Reclamation, </w:t>
      </w:r>
      <w:r w:rsidRPr="000175E1">
        <w:rPr>
          <w:rFonts w:asciiTheme="minorHAnsi" w:hAnsiTheme="minorHAnsi" w:cstheme="minorHAnsi"/>
          <w:color w:val="0000FF"/>
          <w:szCs w:val="24"/>
        </w:rPr>
        <w:t>https://deltarmp.org/Documents/Sacramento_River_Nutrient_Change_Study.pdf</w:t>
      </w:r>
      <w:r w:rsidRPr="000175E1">
        <w:rPr>
          <w:rFonts w:asciiTheme="minorHAnsi" w:hAnsiTheme="minorHAnsi" w:cstheme="minorHAnsi"/>
          <w:color w:val="auto"/>
          <w:szCs w:val="24"/>
        </w:rPr>
        <w:t>.</w:t>
      </w:r>
    </w:p>
    <w:p w14:paraId="1F7760D0" w14:textId="78748774" w:rsidR="00F368B8"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bookmarkStart w:id="6" w:name="_Hlk103007518"/>
      <w:bookmarkEnd w:id="5"/>
      <w:r w:rsidRPr="004A1148">
        <w:rPr>
          <w:rFonts w:asciiTheme="minorHAnsi" w:hAnsiTheme="minorHAnsi" w:cstheme="minorHAnsi"/>
          <w:color w:val="auto"/>
          <w:szCs w:val="24"/>
        </w:rPr>
        <w:t xml:space="preserve">U.S. Geological Survey, 2016, National Hydrography Dataset (NHD): U. S. Geological Survey, National Geospatial Technical Operations Center (NGTOC), accessed December 14, 2018, at </w:t>
      </w:r>
      <w:hyperlink r:id="rId36" w:history="1">
        <w:r w:rsidRPr="004A1148">
          <w:rPr>
            <w:rFonts w:asciiTheme="minorHAnsi" w:hAnsiTheme="minorHAnsi" w:cstheme="minorHAnsi"/>
            <w:color w:val="0000FF"/>
            <w:szCs w:val="24"/>
          </w:rPr>
          <w:t>http://nhd.usgs.gov</w:t>
        </w:r>
      </w:hyperlink>
      <w:r w:rsidRPr="004A1148">
        <w:rPr>
          <w:rFonts w:asciiTheme="minorHAnsi" w:hAnsiTheme="minorHAnsi" w:cstheme="minorHAnsi"/>
          <w:color w:val="auto"/>
          <w:szCs w:val="24"/>
        </w:rPr>
        <w:t>.</w:t>
      </w:r>
    </w:p>
    <w:p w14:paraId="297D59A3" w14:textId="1B2461F5" w:rsidR="00B94909" w:rsidRPr="00B94909" w:rsidRDefault="00B94909" w:rsidP="00B94909">
      <w:pPr>
        <w:spacing w:line="250" w:lineRule="auto"/>
        <w:ind w:left="360" w:hanging="360"/>
        <w:rPr>
          <w:rFonts w:cstheme="minorHAnsi"/>
          <w:color w:val="auto"/>
        </w:rPr>
      </w:pPr>
      <w:bookmarkStart w:id="7" w:name="_Hlk129775821"/>
      <w:r w:rsidRPr="00B94909">
        <w:rPr>
          <w:rFonts w:asciiTheme="minorHAnsi" w:hAnsiTheme="minorHAnsi" w:cstheme="minorHAnsi"/>
          <w:szCs w:val="24"/>
        </w:rPr>
        <w:t>U.S. Geological Survey, 2011</w:t>
      </w:r>
      <w:r w:rsidR="00862A72">
        <w:rPr>
          <w:rFonts w:asciiTheme="minorHAnsi" w:hAnsiTheme="minorHAnsi" w:cstheme="minorHAnsi"/>
          <w:szCs w:val="24"/>
        </w:rPr>
        <w:t>a</w:t>
      </w:r>
      <w:r w:rsidRPr="00B94909">
        <w:rPr>
          <w:rFonts w:asciiTheme="minorHAnsi" w:hAnsiTheme="minorHAnsi" w:cstheme="minorHAnsi"/>
          <w:szCs w:val="24"/>
        </w:rPr>
        <w:t>, Value Qualifier Codes: U.S. Geological Survey National Water Information System: Help</w:t>
      </w:r>
      <w:r w:rsidRPr="00945337">
        <w:t xml:space="preserve"> System, </w:t>
      </w:r>
      <w:r w:rsidRPr="00B94909">
        <w:rPr>
          <w:rFonts w:cstheme="minorHAnsi"/>
          <w:color w:val="0000FF"/>
        </w:rPr>
        <w:t>https://help.waterdata.usgs.gov/code/val_qual_cd_query</w:t>
      </w:r>
      <w:r>
        <w:rPr>
          <w:rFonts w:cstheme="minorHAnsi"/>
          <w:color w:val="auto"/>
        </w:rPr>
        <w:t>.</w:t>
      </w:r>
    </w:p>
    <w:bookmarkEnd w:id="7"/>
    <w:p w14:paraId="41C9D91D" w14:textId="5DCEA9CD" w:rsidR="00F368B8" w:rsidRPr="004A1148" w:rsidRDefault="00F368B8" w:rsidP="00F368B8">
      <w:pPr>
        <w:pBdr>
          <w:top w:val="nil"/>
          <w:left w:val="nil"/>
          <w:bottom w:val="nil"/>
          <w:right w:val="nil"/>
          <w:between w:val="nil"/>
        </w:pBdr>
        <w:spacing w:after="0" w:line="240" w:lineRule="auto"/>
        <w:ind w:left="360" w:hanging="360"/>
        <w:rPr>
          <w:rFonts w:asciiTheme="minorHAnsi" w:hAnsiTheme="minorHAnsi"/>
          <w:color w:val="0563C1" w:themeColor="hyperlink"/>
          <w:szCs w:val="24"/>
          <w:u w:val="single"/>
        </w:rPr>
      </w:pPr>
      <w:r w:rsidRPr="004A1148">
        <w:rPr>
          <w:rFonts w:asciiTheme="minorHAnsi" w:hAnsiTheme="minorHAnsi" w:cstheme="minorHAnsi"/>
          <w:szCs w:val="24"/>
        </w:rPr>
        <w:t>U.S. Geological Survey, 2011</w:t>
      </w:r>
      <w:r w:rsidR="00862A72">
        <w:rPr>
          <w:rFonts w:asciiTheme="minorHAnsi" w:hAnsiTheme="minorHAnsi" w:cstheme="minorHAnsi"/>
          <w:szCs w:val="24"/>
        </w:rPr>
        <w:t>b</w:t>
      </w:r>
      <w:r w:rsidRPr="004A1148">
        <w:rPr>
          <w:rFonts w:asciiTheme="minorHAnsi" w:hAnsiTheme="minorHAnsi" w:cstheme="minorHAnsi"/>
          <w:szCs w:val="24"/>
        </w:rPr>
        <w:t xml:space="preserve">, Remark Codes: U.S. Geological Survey, National Water Information System: Help System, </w:t>
      </w:r>
      <w:r w:rsidRPr="004A1148">
        <w:rPr>
          <w:rFonts w:cstheme="minorHAnsi"/>
          <w:color w:val="0000FF"/>
        </w:rPr>
        <w:t>https://help.waterdata.usgs.gov/remark_cd</w:t>
      </w:r>
      <w:r w:rsidRPr="004A1148">
        <w:rPr>
          <w:rFonts w:cstheme="minorHAnsi"/>
        </w:rPr>
        <w:t>.</w:t>
      </w:r>
    </w:p>
    <w:p w14:paraId="779B074C" w14:textId="77777777" w:rsidR="00F368B8" w:rsidRPr="004A1148" w:rsidRDefault="00F368B8" w:rsidP="00F368B8">
      <w:pPr>
        <w:pBdr>
          <w:top w:val="nil"/>
          <w:left w:val="nil"/>
          <w:bottom w:val="nil"/>
          <w:right w:val="nil"/>
          <w:between w:val="nil"/>
        </w:pBdr>
        <w:spacing w:after="0" w:line="240" w:lineRule="auto"/>
        <w:ind w:left="0" w:firstLine="0"/>
        <w:rPr>
          <w:rFonts w:asciiTheme="minorHAnsi" w:hAnsiTheme="minorHAnsi" w:cstheme="minorHAnsi"/>
          <w:color w:val="auto"/>
          <w:szCs w:val="24"/>
        </w:rPr>
      </w:pPr>
      <w:r w:rsidRPr="004A1148">
        <w:rPr>
          <w:rFonts w:asciiTheme="minorHAnsi" w:hAnsiTheme="minorHAnsi" w:cstheme="minorHAnsi"/>
          <w:color w:val="auto"/>
          <w:szCs w:val="24"/>
        </w:rPr>
        <w:t xml:space="preserve">U.S. Geological Survey, 2022, USGS water data for the Nation: U.S. Geological Survey, National </w:t>
      </w:r>
    </w:p>
    <w:p w14:paraId="1173DFAE" w14:textId="77777777" w:rsidR="00F368B8" w:rsidRPr="004A1148" w:rsidRDefault="00F368B8" w:rsidP="00F368B8">
      <w:pPr>
        <w:pBdr>
          <w:top w:val="nil"/>
          <w:left w:val="nil"/>
          <w:bottom w:val="nil"/>
          <w:right w:val="nil"/>
          <w:between w:val="nil"/>
        </w:pBdr>
        <w:spacing w:after="0" w:line="240" w:lineRule="auto"/>
        <w:ind w:left="1080" w:hanging="720"/>
        <w:rPr>
          <w:rFonts w:asciiTheme="minorHAnsi" w:hAnsiTheme="minorHAnsi" w:cstheme="minorHAnsi"/>
          <w:color w:val="auto"/>
          <w:szCs w:val="24"/>
        </w:rPr>
      </w:pPr>
      <w:r w:rsidRPr="004A1148">
        <w:rPr>
          <w:rFonts w:asciiTheme="minorHAnsi" w:hAnsiTheme="minorHAnsi" w:cstheme="minorHAnsi"/>
          <w:color w:val="auto"/>
          <w:szCs w:val="24"/>
        </w:rPr>
        <w:t xml:space="preserve">Water Information System database, </w:t>
      </w:r>
      <w:hyperlink r:id="rId37" w:history="1">
        <w:r w:rsidRPr="004A1148">
          <w:rPr>
            <w:rFonts w:asciiTheme="minorHAnsi" w:hAnsiTheme="minorHAnsi" w:cstheme="minorHAnsi"/>
            <w:color w:val="0000FF"/>
            <w:szCs w:val="24"/>
          </w:rPr>
          <w:t>http://dx.doi.org/10.5066/F7P55KJN</w:t>
        </w:r>
      </w:hyperlink>
      <w:r w:rsidRPr="004A1148">
        <w:rPr>
          <w:rFonts w:asciiTheme="minorHAnsi" w:hAnsiTheme="minorHAnsi" w:cstheme="minorHAnsi"/>
          <w:color w:val="auto"/>
          <w:szCs w:val="24"/>
        </w:rPr>
        <w:t>.</w:t>
      </w:r>
    </w:p>
    <w:p w14:paraId="2558CD6F" w14:textId="77777777" w:rsidR="00F368B8" w:rsidRPr="00154417" w:rsidRDefault="00F368B8" w:rsidP="00F368B8">
      <w:pPr>
        <w:pBdr>
          <w:top w:val="nil"/>
          <w:left w:val="nil"/>
          <w:bottom w:val="nil"/>
          <w:right w:val="nil"/>
          <w:between w:val="nil"/>
        </w:pBdr>
        <w:spacing w:after="0" w:line="240" w:lineRule="auto"/>
        <w:ind w:left="360" w:hanging="360"/>
        <w:rPr>
          <w:rFonts w:asciiTheme="minorHAnsi" w:hAnsiTheme="minorHAnsi" w:cstheme="minorHAnsi"/>
          <w:color w:val="auto"/>
          <w:szCs w:val="24"/>
        </w:rPr>
      </w:pPr>
      <w:bookmarkStart w:id="8" w:name="_Hlk103013358"/>
      <w:bookmarkEnd w:id="6"/>
      <w:r w:rsidRPr="004A1148">
        <w:rPr>
          <w:rFonts w:asciiTheme="minorHAnsi" w:hAnsiTheme="minorHAnsi" w:cstheme="minorHAnsi"/>
          <w:color w:val="auto"/>
          <w:szCs w:val="24"/>
        </w:rPr>
        <w:t>Van Rossum, G., and Drake, F. L., 2009, Python 3 Reference Manual. Scotts Valley, CA: CreateSpace, accessed March 15, 2017.</w:t>
      </w:r>
    </w:p>
    <w:bookmarkEnd w:id="8"/>
    <w:p w14:paraId="058C2D25" w14:textId="7CD9A81B" w:rsidR="00500AEC" w:rsidRPr="00A4674D" w:rsidRDefault="00500AEC" w:rsidP="00066138">
      <w:pPr>
        <w:ind w:left="-5" w:right="53" w:firstLine="5"/>
      </w:pPr>
    </w:p>
    <w:sectPr w:rsidR="00500AEC" w:rsidRPr="00A4674D">
      <w:footerReference w:type="default" r:id="rId38"/>
      <w:pgSz w:w="12240" w:h="15840"/>
      <w:pgMar w:top="1445" w:right="1386" w:bottom="14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62946" w14:textId="77777777" w:rsidR="006241B6" w:rsidRDefault="006241B6" w:rsidP="00C07EA4">
      <w:pPr>
        <w:spacing w:after="0" w:line="240" w:lineRule="auto"/>
      </w:pPr>
      <w:r>
        <w:separator/>
      </w:r>
    </w:p>
  </w:endnote>
  <w:endnote w:type="continuationSeparator" w:id="0">
    <w:p w14:paraId="5B3CB47A" w14:textId="77777777" w:rsidR="006241B6" w:rsidRDefault="006241B6" w:rsidP="00C07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644309"/>
      <w:docPartObj>
        <w:docPartGallery w:val="Page Numbers (Bottom of Page)"/>
        <w:docPartUnique/>
      </w:docPartObj>
    </w:sdtPr>
    <w:sdtEndPr>
      <w:rPr>
        <w:noProof/>
      </w:rPr>
    </w:sdtEndPr>
    <w:sdtContent>
      <w:p w14:paraId="49A81358" w14:textId="6A5C56B4" w:rsidR="00C07EA4" w:rsidRDefault="00C07E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B54961" w14:textId="77777777" w:rsidR="00C07EA4" w:rsidRDefault="00C07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781D4" w14:textId="77777777" w:rsidR="006241B6" w:rsidRDefault="006241B6" w:rsidP="00C07EA4">
      <w:pPr>
        <w:spacing w:after="0" w:line="240" w:lineRule="auto"/>
      </w:pPr>
      <w:r>
        <w:separator/>
      </w:r>
    </w:p>
  </w:footnote>
  <w:footnote w:type="continuationSeparator" w:id="0">
    <w:p w14:paraId="06AAB5BA" w14:textId="77777777" w:rsidR="006241B6" w:rsidRDefault="006241B6" w:rsidP="00C07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90402"/>
    <w:multiLevelType w:val="hybridMultilevel"/>
    <w:tmpl w:val="D520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15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DC"/>
    <w:rsid w:val="00013D4B"/>
    <w:rsid w:val="000175E1"/>
    <w:rsid w:val="00053682"/>
    <w:rsid w:val="00057BBE"/>
    <w:rsid w:val="00066138"/>
    <w:rsid w:val="000941DA"/>
    <w:rsid w:val="000966FF"/>
    <w:rsid w:val="000A29A7"/>
    <w:rsid w:val="000A4F88"/>
    <w:rsid w:val="000B4D77"/>
    <w:rsid w:val="000E2AFC"/>
    <w:rsid w:val="000F07B8"/>
    <w:rsid w:val="000F4957"/>
    <w:rsid w:val="000F5F20"/>
    <w:rsid w:val="00126DF5"/>
    <w:rsid w:val="0016234E"/>
    <w:rsid w:val="00184D3E"/>
    <w:rsid w:val="0019530F"/>
    <w:rsid w:val="001A7793"/>
    <w:rsid w:val="001E792C"/>
    <w:rsid w:val="0020339B"/>
    <w:rsid w:val="00212013"/>
    <w:rsid w:val="0021759C"/>
    <w:rsid w:val="002339FF"/>
    <w:rsid w:val="00247A67"/>
    <w:rsid w:val="002A1F7A"/>
    <w:rsid w:val="002D1049"/>
    <w:rsid w:val="00307782"/>
    <w:rsid w:val="003221A8"/>
    <w:rsid w:val="00331981"/>
    <w:rsid w:val="003346C9"/>
    <w:rsid w:val="003367AC"/>
    <w:rsid w:val="00360B09"/>
    <w:rsid w:val="003A15CF"/>
    <w:rsid w:val="003A7B04"/>
    <w:rsid w:val="003B4D65"/>
    <w:rsid w:val="003E4111"/>
    <w:rsid w:val="003F32F0"/>
    <w:rsid w:val="003F3375"/>
    <w:rsid w:val="004405A4"/>
    <w:rsid w:val="00444476"/>
    <w:rsid w:val="0046372C"/>
    <w:rsid w:val="00486BE3"/>
    <w:rsid w:val="00492EE3"/>
    <w:rsid w:val="004A1148"/>
    <w:rsid w:val="004E6C4D"/>
    <w:rsid w:val="00500AEC"/>
    <w:rsid w:val="005E5A1D"/>
    <w:rsid w:val="00613406"/>
    <w:rsid w:val="006146C8"/>
    <w:rsid w:val="006241B6"/>
    <w:rsid w:val="00624226"/>
    <w:rsid w:val="00655847"/>
    <w:rsid w:val="00690C9E"/>
    <w:rsid w:val="00706B60"/>
    <w:rsid w:val="0072136B"/>
    <w:rsid w:val="00747A0D"/>
    <w:rsid w:val="007836B5"/>
    <w:rsid w:val="00784D79"/>
    <w:rsid w:val="00787F67"/>
    <w:rsid w:val="007A6C3B"/>
    <w:rsid w:val="007A7127"/>
    <w:rsid w:val="007C63D1"/>
    <w:rsid w:val="007D18E6"/>
    <w:rsid w:val="007F7737"/>
    <w:rsid w:val="008008A9"/>
    <w:rsid w:val="00843D20"/>
    <w:rsid w:val="00855886"/>
    <w:rsid w:val="00862A72"/>
    <w:rsid w:val="008A0B8A"/>
    <w:rsid w:val="008A2895"/>
    <w:rsid w:val="008B7649"/>
    <w:rsid w:val="008D3112"/>
    <w:rsid w:val="008E3D66"/>
    <w:rsid w:val="008F3970"/>
    <w:rsid w:val="008F7600"/>
    <w:rsid w:val="00913039"/>
    <w:rsid w:val="0092540E"/>
    <w:rsid w:val="00936D9C"/>
    <w:rsid w:val="00976E0C"/>
    <w:rsid w:val="009B278D"/>
    <w:rsid w:val="009C516D"/>
    <w:rsid w:val="009C5A48"/>
    <w:rsid w:val="009E436E"/>
    <w:rsid w:val="009F5C54"/>
    <w:rsid w:val="00A4674D"/>
    <w:rsid w:val="00A6025D"/>
    <w:rsid w:val="00A66996"/>
    <w:rsid w:val="00A7229B"/>
    <w:rsid w:val="00A84767"/>
    <w:rsid w:val="00A905BB"/>
    <w:rsid w:val="00AA52F9"/>
    <w:rsid w:val="00AC0050"/>
    <w:rsid w:val="00AD0BB4"/>
    <w:rsid w:val="00AD4512"/>
    <w:rsid w:val="00AF29ED"/>
    <w:rsid w:val="00B276DC"/>
    <w:rsid w:val="00B311F8"/>
    <w:rsid w:val="00B712CA"/>
    <w:rsid w:val="00B832AC"/>
    <w:rsid w:val="00B94909"/>
    <w:rsid w:val="00BB00E2"/>
    <w:rsid w:val="00BB0182"/>
    <w:rsid w:val="00BD2B2E"/>
    <w:rsid w:val="00C07EA4"/>
    <w:rsid w:val="00C3046A"/>
    <w:rsid w:val="00C356BF"/>
    <w:rsid w:val="00C50E17"/>
    <w:rsid w:val="00C67B32"/>
    <w:rsid w:val="00C779AF"/>
    <w:rsid w:val="00CA351B"/>
    <w:rsid w:val="00CF6C40"/>
    <w:rsid w:val="00D02E27"/>
    <w:rsid w:val="00D03E6A"/>
    <w:rsid w:val="00D1572E"/>
    <w:rsid w:val="00D33054"/>
    <w:rsid w:val="00D33597"/>
    <w:rsid w:val="00D57F8C"/>
    <w:rsid w:val="00E05D29"/>
    <w:rsid w:val="00E13294"/>
    <w:rsid w:val="00E50351"/>
    <w:rsid w:val="00E6039C"/>
    <w:rsid w:val="00E746E3"/>
    <w:rsid w:val="00E761C3"/>
    <w:rsid w:val="00E971EC"/>
    <w:rsid w:val="00EA488D"/>
    <w:rsid w:val="00EE0337"/>
    <w:rsid w:val="00EE7272"/>
    <w:rsid w:val="00F256E9"/>
    <w:rsid w:val="00F25F69"/>
    <w:rsid w:val="00F368B8"/>
    <w:rsid w:val="00F42D9E"/>
    <w:rsid w:val="00F641DB"/>
    <w:rsid w:val="00F67417"/>
    <w:rsid w:val="00F72071"/>
    <w:rsid w:val="00F80654"/>
    <w:rsid w:val="00F82170"/>
    <w:rsid w:val="00FC445A"/>
    <w:rsid w:val="00FD6D53"/>
    <w:rsid w:val="00FE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D3E7"/>
  <w15:docId w15:val="{EA19CE3C-8A57-4E18-94CF-D7500EFA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9"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0000"/>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1572E"/>
    <w:rPr>
      <w:sz w:val="16"/>
      <w:szCs w:val="16"/>
    </w:rPr>
  </w:style>
  <w:style w:type="paragraph" w:styleId="CommentText">
    <w:name w:val="annotation text"/>
    <w:basedOn w:val="Normal"/>
    <w:link w:val="CommentTextChar"/>
    <w:uiPriority w:val="99"/>
    <w:semiHidden/>
    <w:unhideWhenUsed/>
    <w:rsid w:val="00D1572E"/>
    <w:pPr>
      <w:spacing w:line="240" w:lineRule="auto"/>
    </w:pPr>
    <w:rPr>
      <w:sz w:val="20"/>
      <w:szCs w:val="20"/>
    </w:rPr>
  </w:style>
  <w:style w:type="character" w:customStyle="1" w:styleId="CommentTextChar">
    <w:name w:val="Comment Text Char"/>
    <w:basedOn w:val="DefaultParagraphFont"/>
    <w:link w:val="CommentText"/>
    <w:uiPriority w:val="99"/>
    <w:semiHidden/>
    <w:rsid w:val="00D1572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1572E"/>
    <w:rPr>
      <w:b/>
      <w:bCs/>
    </w:rPr>
  </w:style>
  <w:style w:type="character" w:customStyle="1" w:styleId="CommentSubjectChar">
    <w:name w:val="Comment Subject Char"/>
    <w:basedOn w:val="CommentTextChar"/>
    <w:link w:val="CommentSubject"/>
    <w:uiPriority w:val="99"/>
    <w:semiHidden/>
    <w:rsid w:val="00D1572E"/>
    <w:rPr>
      <w:rFonts w:ascii="Calibri" w:eastAsia="Calibri" w:hAnsi="Calibri" w:cs="Calibri"/>
      <w:b/>
      <w:bCs/>
      <w:color w:val="000000"/>
      <w:sz w:val="20"/>
      <w:szCs w:val="20"/>
    </w:rPr>
  </w:style>
  <w:style w:type="character" w:customStyle="1" w:styleId="spellingerror">
    <w:name w:val="spellingerror"/>
    <w:basedOn w:val="DefaultParagraphFont"/>
    <w:rsid w:val="00492EE3"/>
  </w:style>
  <w:style w:type="character" w:customStyle="1" w:styleId="normaltextrun">
    <w:name w:val="normaltextrun"/>
    <w:basedOn w:val="DefaultParagraphFont"/>
    <w:rsid w:val="00492EE3"/>
  </w:style>
  <w:style w:type="character" w:styleId="Hyperlink">
    <w:name w:val="Hyperlink"/>
    <w:basedOn w:val="DefaultParagraphFont"/>
    <w:uiPriority w:val="99"/>
    <w:unhideWhenUsed/>
    <w:rsid w:val="00492EE3"/>
    <w:rPr>
      <w:color w:val="0563C1" w:themeColor="hyperlink"/>
      <w:u w:val="single"/>
    </w:rPr>
  </w:style>
  <w:style w:type="character" w:styleId="UnresolvedMention">
    <w:name w:val="Unresolved Mention"/>
    <w:basedOn w:val="DefaultParagraphFont"/>
    <w:uiPriority w:val="99"/>
    <w:semiHidden/>
    <w:unhideWhenUsed/>
    <w:rsid w:val="00492EE3"/>
    <w:rPr>
      <w:color w:val="605E5C"/>
      <w:shd w:val="clear" w:color="auto" w:fill="E1DFDD"/>
    </w:rPr>
  </w:style>
  <w:style w:type="character" w:customStyle="1" w:styleId="eop">
    <w:name w:val="eop"/>
    <w:basedOn w:val="DefaultParagraphFont"/>
    <w:rsid w:val="00492EE3"/>
  </w:style>
  <w:style w:type="character" w:styleId="FollowedHyperlink">
    <w:name w:val="FollowedHyperlink"/>
    <w:basedOn w:val="DefaultParagraphFont"/>
    <w:uiPriority w:val="99"/>
    <w:semiHidden/>
    <w:unhideWhenUsed/>
    <w:rsid w:val="00747A0D"/>
    <w:rPr>
      <w:color w:val="954F72" w:themeColor="followedHyperlink"/>
      <w:u w:val="single"/>
    </w:rPr>
  </w:style>
  <w:style w:type="paragraph" w:styleId="Header">
    <w:name w:val="header"/>
    <w:basedOn w:val="Normal"/>
    <w:link w:val="HeaderChar"/>
    <w:uiPriority w:val="99"/>
    <w:unhideWhenUsed/>
    <w:rsid w:val="00C07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EA4"/>
    <w:rPr>
      <w:rFonts w:ascii="Calibri" w:eastAsia="Calibri" w:hAnsi="Calibri" w:cs="Calibri"/>
      <w:color w:val="000000"/>
      <w:sz w:val="24"/>
    </w:rPr>
  </w:style>
  <w:style w:type="paragraph" w:styleId="Footer">
    <w:name w:val="footer"/>
    <w:basedOn w:val="Normal"/>
    <w:link w:val="FooterChar"/>
    <w:uiPriority w:val="99"/>
    <w:unhideWhenUsed/>
    <w:rsid w:val="00C07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EA4"/>
    <w:rPr>
      <w:rFonts w:ascii="Calibri" w:eastAsia="Calibri" w:hAnsi="Calibri" w:cs="Calibri"/>
      <w:color w:val="000000"/>
      <w:sz w:val="24"/>
    </w:rPr>
  </w:style>
  <w:style w:type="table" w:styleId="PlainTable2">
    <w:name w:val="Plain Table 2"/>
    <w:basedOn w:val="TableNormal"/>
    <w:uiPriority w:val="42"/>
    <w:rsid w:val="009C5A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F82170"/>
    <w:pPr>
      <w:ind w:left="720"/>
      <w:contextualSpacing/>
    </w:pPr>
  </w:style>
  <w:style w:type="paragraph" w:styleId="Revision">
    <w:name w:val="Revision"/>
    <w:hidden/>
    <w:uiPriority w:val="99"/>
    <w:semiHidden/>
    <w:rsid w:val="003B4D65"/>
    <w:pPr>
      <w:spacing w:after="0" w:line="240" w:lineRule="auto"/>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263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21/ac50033a035" TargetMode="External"/><Relationship Id="rId18" Type="http://schemas.openxmlformats.org/officeDocument/2006/relationships/hyperlink" Target="https://doi.org/10.1002/lno.10270" TargetMode="External"/><Relationship Id="rId26" Type="http://schemas.openxmlformats.org/officeDocument/2006/relationships/hyperlink" Target="https://doi.org/10.4319/lo.1960.5.1.0057"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sfei.org/documents/delta-subregions" TargetMode="External"/><Relationship Id="rId34" Type="http://schemas.openxmlformats.org/officeDocument/2006/relationships/hyperlink" Target="https://doi.org/10.1016/j.scitotenv.2019.134392" TargetMode="External"/><Relationship Id="rId7" Type="http://schemas.openxmlformats.org/officeDocument/2006/relationships/settings" Target="settings.xml"/><Relationship Id="rId12" Type="http://schemas.openxmlformats.org/officeDocument/2006/relationships/hyperlink" Target="https://doi.org/10.1111/j.0022-3646.1989.00055.x" TargetMode="External"/><Relationship Id="rId17" Type="http://schemas.openxmlformats.org/officeDocument/2006/relationships/hyperlink" Target="https://doi.org/10.3133/ofr93125" TargetMode="External"/><Relationship Id="rId25" Type="http://schemas.openxmlformats.org/officeDocument/2006/relationships/hyperlink" Target="https://doi.org/10.25080/Majora-92bf1922-00a" TargetMode="External"/><Relationship Id="rId33" Type="http://schemas.openxmlformats.org/officeDocument/2006/relationships/hyperlink" Target="https://doi.org/10.1002/2017WR02067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1021/acs.est.5b03518" TargetMode="External"/><Relationship Id="rId20" Type="http://schemas.openxmlformats.org/officeDocument/2006/relationships/hyperlink" Target="https://doi.org/10.1046/j.1529-8817.1999.3520403.x" TargetMode="External"/><Relationship Id="rId29" Type="http://schemas.openxmlformats.org/officeDocument/2006/relationships/hyperlink" Target="https://doi.org/10.3133/tm5B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23/A:1016026607048" TargetMode="External"/><Relationship Id="rId24" Type="http://schemas.openxmlformats.org/officeDocument/2006/relationships/hyperlink" Target="https://doi.org/10.1007/BF00007865" TargetMode="External"/><Relationship Id="rId32" Type="http://schemas.openxmlformats.org/officeDocument/2006/relationships/hyperlink" Target="https://doi.org/10.5942/jawwa.2012.104.0086" TargetMode="External"/><Relationship Id="rId37" Type="http://schemas.openxmlformats.org/officeDocument/2006/relationships/hyperlink" Target="http://dx.doi.org/10.5066/F7P55KJN"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021/acs.est.6b05745" TargetMode="External"/><Relationship Id="rId23" Type="http://schemas.openxmlformats.org/officeDocument/2006/relationships/hyperlink" Target="https://doi.org/10.15447/sfews.2019v17iss3art2" TargetMode="External"/><Relationship Id="rId28" Type="http://schemas.openxmlformats.org/officeDocument/2006/relationships/hyperlink" Target="https://doi.org/10.3133/wri034174" TargetMode="External"/><Relationship Id="rId36" Type="http://schemas.openxmlformats.org/officeDocument/2006/relationships/hyperlink" Target="http://nhd.usgs.gov" TargetMode="External"/><Relationship Id="rId10" Type="http://schemas.openxmlformats.org/officeDocument/2006/relationships/endnotes" Target="endnotes.xml"/><Relationship Id="rId19" Type="http://schemas.openxmlformats.org/officeDocument/2006/relationships/hyperlink" Target="https://doi.org/10.3133/ofr20181096" TargetMode="External"/><Relationship Id="rId31" Type="http://schemas.openxmlformats.org/officeDocument/2006/relationships/hyperlink" Target="https://doi.org/10.3133/tm1D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bs.acs.org/doi/10.1021/es970521v" TargetMode="External"/><Relationship Id="rId22" Type="http://schemas.openxmlformats.org/officeDocument/2006/relationships/hyperlink" Target="https://geopandas.org/en/stable/" TargetMode="External"/><Relationship Id="rId27" Type="http://schemas.openxmlformats.org/officeDocument/2006/relationships/hyperlink" Target="https://doi.org/10.1093/plankt/fbh038" TargetMode="External"/><Relationship Id="rId30" Type="http://schemas.openxmlformats.org/officeDocument/2006/relationships/hyperlink" Target="https://doi.org/10.3133/ofr92146" TargetMode="External"/><Relationship Id="rId35" Type="http://schemas.openxmlformats.org/officeDocument/2006/relationships/hyperlink" Target="https://doi.org/10.1109/38.20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http://schemas.microsoft.com/sharepoint/v3">Other</DocumentType>
    <DocumentDescription xmlns="http://schemas.microsoft.com/sharepoint/v3">Database Management Specialist review</DocumentDescription>
  </documentManagement>
</p:properties>
</file>

<file path=customXml/item2.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B817D6AF71A356478D74CF0BC113A87D" ma:contentTypeVersion="1" ma:contentTypeDescription="Information Product Document Content Type" ma:contentTypeScope="" ma:versionID="57d1f344d9d7dce9e33f934c5df7c4ff">
  <xsd:schema xmlns:xsd="http://www.w3.org/2001/XMLSchema" xmlns:xs="http://www.w3.org/2001/XMLSchema" xmlns:p="http://schemas.microsoft.com/office/2006/metadata/properties" xmlns:ns1="http://schemas.microsoft.com/sharepoint/v3" targetNamespace="http://schemas.microsoft.com/office/2006/metadata/properties" ma:root="true" ma:fieldsID="05e5fefa80891b084f397fd291fa2983"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default=""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IPPA"/>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81804-C8B8-4A22-A9A8-F99011AEEA52}">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2609F61B-6935-4D7A-B52E-9F3589CC2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6CF5E0-629A-4048-A360-E0919A5A337F}">
  <ds:schemaRefs>
    <ds:schemaRef ds:uri="http://schemas.microsoft.com/sharepoint/v3/contenttype/forms"/>
  </ds:schemaRefs>
</ds:datastoreItem>
</file>

<file path=customXml/itemProps4.xml><?xml version="1.0" encoding="utf-8"?>
<ds:datastoreItem xmlns:ds="http://schemas.openxmlformats.org/officeDocument/2006/customXml" ds:itemID="{450647CF-2CE1-468A-BC2C-DD9C44CF3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10</Pages>
  <Words>4520</Words>
  <Characters>25766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DMS metadata Review document</vt:lpstr>
    </vt:vector>
  </TitlesOfParts>
  <Company/>
  <LinksUpToDate>false</LinksUpToDate>
  <CharactersWithSpaces>30226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metadata Review document</dc:title>
  <dc:subject/>
  <dc:creator>Fackrell, Joseph K</dc:creator>
  <cp:keywords/>
  <cp:lastModifiedBy>Uebner, Maura Q</cp:lastModifiedBy>
  <cp:revision>18</cp:revision>
  <cp:lastPrinted>2023-03-15T19:05:00Z</cp:lastPrinted>
  <dcterms:created xsi:type="dcterms:W3CDTF">2022-08-09T01:39:00Z</dcterms:created>
  <dcterms:modified xsi:type="dcterms:W3CDTF">2023-03-17T18:22:00Z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0x0101006BD571182E2C4DE7854527CFFCE1B0FE00B817D6AF71A356478D74CF0BC113A87D</vt:lpwstr>
  </property>
</Properties>
</file>