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544143B" w14:textId="0C069A3C" w:rsidR="001B6E1B" w:rsidRPr="000421CD" w:rsidRDefault="001B6E1B" w:rsidP="00C644D2">
      <w:pPr>
        <w:spacing w:line="22" w:lineRule="atLeast"/>
        <w:rPr>
          <w:sz w:val="24"/>
          <w:szCs w:val="24"/>
        </w:rPr>
      </w:pPr>
      <w:r w:rsidRPr="000421CD">
        <w:rPr>
          <w:noProof/>
          <w:sz w:val="24"/>
          <w:szCs w:val="24"/>
        </w:rPr>
        <w:drawing>
          <wp:inline distT="0" distB="0" distL="0" distR="0" wp14:anchorId="01312356" wp14:editId="7CCC7A38">
            <wp:extent cx="1920240" cy="835025"/>
            <wp:effectExtent l="0" t="0" r="3810" b="3175"/>
            <wp:docPr id="1" name="Picture 1" descr="USGS science for a changing worl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GS science for a changing world">
                      <a:extLst>
                        <a:ext uri="{C183D7F6-B498-43B3-948B-1728B52AA6E4}">
                          <adec:decorative xmlns:adec="http://schemas.microsoft.com/office/drawing/2017/decorative" val="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835025"/>
                    </a:xfrm>
                    <a:prstGeom prst="rect">
                      <a:avLst/>
                    </a:prstGeom>
                    <a:noFill/>
                  </pic:spPr>
                </pic:pic>
              </a:graphicData>
            </a:graphic>
          </wp:inline>
        </w:drawing>
      </w:r>
    </w:p>
    <w:p w14:paraId="3CAE616F" w14:textId="57FA77B5" w:rsidR="00170648" w:rsidRDefault="001B6E1B" w:rsidP="00C644D2">
      <w:pPr>
        <w:pStyle w:val="Title"/>
        <w:spacing w:line="22" w:lineRule="atLeast"/>
        <w:rPr>
          <w:sz w:val="44"/>
          <w:szCs w:val="44"/>
        </w:rPr>
      </w:pPr>
      <w:r w:rsidRPr="003F7B58">
        <w:rPr>
          <w:sz w:val="44"/>
          <w:szCs w:val="44"/>
        </w:rPr>
        <w:t>Assessing spatial variability of nutrients, phytoplankton, and related water quality constituents in the California Sacramento-San Joaquin Delta at the landscape scale: 20</w:t>
      </w:r>
      <w:r w:rsidR="00007F42" w:rsidRPr="003F7B58">
        <w:rPr>
          <w:sz w:val="44"/>
          <w:szCs w:val="44"/>
        </w:rPr>
        <w:t>2</w:t>
      </w:r>
      <w:r w:rsidR="008055EE">
        <w:rPr>
          <w:sz w:val="44"/>
          <w:szCs w:val="44"/>
        </w:rPr>
        <w:t>2</w:t>
      </w:r>
      <w:r w:rsidRPr="003F7B58">
        <w:rPr>
          <w:sz w:val="44"/>
          <w:szCs w:val="44"/>
        </w:rPr>
        <w:t xml:space="preserve"> High resolution mapping surveys</w:t>
      </w:r>
    </w:p>
    <w:p w14:paraId="630541DC" w14:textId="77777777" w:rsidR="003474C3" w:rsidRDefault="003474C3" w:rsidP="00C644D2">
      <w:pPr>
        <w:spacing w:line="22" w:lineRule="atLeast"/>
      </w:pPr>
    </w:p>
    <w:p w14:paraId="03E3BFBD" w14:textId="2845FE46" w:rsidR="00C409EE" w:rsidRPr="00CE565C" w:rsidRDefault="00C409EE" w:rsidP="00C644D2">
      <w:pPr>
        <w:spacing w:line="22" w:lineRule="atLeast"/>
      </w:pPr>
      <w:bookmarkStart w:id="0" w:name="_Hlk175225437"/>
      <w:r w:rsidRPr="00C409EE">
        <w:t>O'Donnell, K., Richardson, E.T., Soto Perez, J., Sturgeon, C.L., Delascagigas, A., Nakatsuka, K., Uebner, M.Q., Bergamaschi, T., Hansen, J.A., Bouma Gregson, K., Kraus, T.E.C., and Bergamaschi, B.</w:t>
      </w:r>
      <w:r w:rsidR="00536891">
        <w:t>A.</w:t>
      </w:r>
      <w:r w:rsidRPr="00C409EE">
        <w:t>, 202</w:t>
      </w:r>
      <w:r w:rsidR="004D7E15">
        <w:t>4</w:t>
      </w:r>
      <w:r w:rsidRPr="00C409EE">
        <w:t>, Assessing spatial variability of nutrients, phytoplankton, and related water quality constituents in the California Sacramento-San Joaquin Delta at the landscape scale: 2022 High resolution mapping surveys: U.S. Geological Survey data release, https://doi.org/10.5066/P9QULEAT.</w:t>
      </w:r>
    </w:p>
    <w:p w14:paraId="6A9413A1" w14:textId="77777777" w:rsidR="00AB73DA" w:rsidRPr="00CE565C" w:rsidRDefault="00AB73DA" w:rsidP="00C644D2">
      <w:pPr>
        <w:pStyle w:val="Heading1"/>
        <w:spacing w:before="0" w:line="22" w:lineRule="atLeast"/>
        <w:ind w:left="-5" w:hanging="10"/>
        <w:rPr>
          <w:rFonts w:ascii="Calibri" w:eastAsia="Calibri" w:hAnsi="Calibri" w:cs="Calibri"/>
          <w:b/>
          <w:bCs/>
          <w:color w:val="000000"/>
          <w:szCs w:val="22"/>
        </w:rPr>
      </w:pPr>
      <w:bookmarkStart w:id="1" w:name="_Toc34055476"/>
      <w:bookmarkEnd w:id="0"/>
      <w:r w:rsidRPr="00CE565C">
        <w:rPr>
          <w:rFonts w:ascii="Calibri" w:eastAsia="Calibri" w:hAnsi="Calibri" w:cs="Calibri"/>
          <w:b/>
          <w:bCs/>
          <w:color w:val="000000"/>
          <w:szCs w:val="22"/>
        </w:rPr>
        <w:t>Methods</w:t>
      </w:r>
      <w:bookmarkEnd w:id="1"/>
    </w:p>
    <w:p w14:paraId="748EC50D" w14:textId="44D6D628" w:rsidR="00616488" w:rsidRPr="000421CD" w:rsidRDefault="00241090" w:rsidP="004D7E15">
      <w:pPr>
        <w:rPr>
          <w:sz w:val="24"/>
          <w:szCs w:val="24"/>
        </w:rPr>
      </w:pPr>
      <w:r>
        <w:rPr>
          <w:sz w:val="24"/>
          <w:szCs w:val="24"/>
        </w:rPr>
        <w:t>B</w:t>
      </w:r>
      <w:r w:rsidR="00AB73DA" w:rsidRPr="000421CD">
        <w:rPr>
          <w:sz w:val="24"/>
          <w:szCs w:val="24"/>
        </w:rPr>
        <w:t>road-area</w:t>
      </w:r>
      <w:r>
        <w:rPr>
          <w:sz w:val="24"/>
          <w:szCs w:val="24"/>
        </w:rPr>
        <w:t>,</w:t>
      </w:r>
      <w:r w:rsidR="00AB73DA" w:rsidRPr="000421CD">
        <w:rPr>
          <w:sz w:val="24"/>
          <w:szCs w:val="24"/>
        </w:rPr>
        <w:t xml:space="preserve"> high-resolution</w:t>
      </w:r>
      <w:r>
        <w:rPr>
          <w:sz w:val="24"/>
          <w:szCs w:val="24"/>
        </w:rPr>
        <w:t xml:space="preserve">, boat-based </w:t>
      </w:r>
      <w:r w:rsidR="00AB73DA" w:rsidRPr="000421CD">
        <w:rPr>
          <w:sz w:val="24"/>
          <w:szCs w:val="24"/>
        </w:rPr>
        <w:t xml:space="preserve">water quality mapping surveys of the </w:t>
      </w:r>
      <w:r>
        <w:rPr>
          <w:sz w:val="24"/>
          <w:szCs w:val="24"/>
        </w:rPr>
        <w:t xml:space="preserve">Sacramento-San Joaquin </w:t>
      </w:r>
      <w:r w:rsidR="00AB73DA" w:rsidRPr="000421CD">
        <w:rPr>
          <w:sz w:val="24"/>
          <w:szCs w:val="24"/>
        </w:rPr>
        <w:t>Delta</w:t>
      </w:r>
      <w:r w:rsidR="003E7714">
        <w:rPr>
          <w:sz w:val="24"/>
          <w:szCs w:val="24"/>
        </w:rPr>
        <w:t xml:space="preserve"> (Delta)</w:t>
      </w:r>
      <w:r w:rsidR="008D3205">
        <w:rPr>
          <w:sz w:val="24"/>
          <w:szCs w:val="24"/>
        </w:rPr>
        <w:t xml:space="preserve"> and Suisun Bay</w:t>
      </w:r>
      <w:r w:rsidR="00AB73DA" w:rsidRPr="000421CD">
        <w:rPr>
          <w:sz w:val="24"/>
          <w:szCs w:val="24"/>
        </w:rPr>
        <w:t xml:space="preserve"> </w:t>
      </w:r>
      <w:r>
        <w:rPr>
          <w:sz w:val="24"/>
          <w:szCs w:val="24"/>
        </w:rPr>
        <w:t xml:space="preserve">were </w:t>
      </w:r>
      <w:r w:rsidR="00AB73DA" w:rsidRPr="002D6698">
        <w:rPr>
          <w:sz w:val="24"/>
          <w:szCs w:val="24"/>
        </w:rPr>
        <w:t>conducted in</w:t>
      </w:r>
      <w:r w:rsidR="002D6698" w:rsidRPr="002D6698">
        <w:rPr>
          <w:sz w:val="24"/>
          <w:szCs w:val="24"/>
        </w:rPr>
        <w:t xml:space="preserve"> May, July, and October of 2022. </w:t>
      </w:r>
      <w:bookmarkStart w:id="2" w:name="_Toc34055477"/>
      <w:r w:rsidR="0090516B" w:rsidRPr="002D6698">
        <w:rPr>
          <w:sz w:val="24"/>
          <w:szCs w:val="24"/>
        </w:rPr>
        <w:t xml:space="preserve">Each survey </w:t>
      </w:r>
      <w:r w:rsidR="00DE6FDE" w:rsidRPr="002D6698">
        <w:rPr>
          <w:sz w:val="24"/>
          <w:szCs w:val="24"/>
        </w:rPr>
        <w:t xml:space="preserve">was comprised </w:t>
      </w:r>
      <w:r w:rsidR="00B23A16" w:rsidRPr="002D6698">
        <w:rPr>
          <w:sz w:val="24"/>
          <w:szCs w:val="24"/>
        </w:rPr>
        <w:t xml:space="preserve">of four </w:t>
      </w:r>
      <w:r w:rsidR="0090516B" w:rsidRPr="002D6698">
        <w:rPr>
          <w:sz w:val="24"/>
          <w:szCs w:val="24"/>
        </w:rPr>
        <w:t>successive days</w:t>
      </w:r>
      <w:r w:rsidR="00B23A16" w:rsidRPr="002D6698">
        <w:rPr>
          <w:sz w:val="24"/>
          <w:szCs w:val="24"/>
        </w:rPr>
        <w:t xml:space="preserve"> </w:t>
      </w:r>
      <w:r w:rsidR="0090516B" w:rsidRPr="002D6698">
        <w:rPr>
          <w:sz w:val="24"/>
          <w:szCs w:val="24"/>
        </w:rPr>
        <w:t>of high-resolution mapping</w:t>
      </w:r>
      <w:r w:rsidRPr="002D6698">
        <w:rPr>
          <w:sz w:val="24"/>
          <w:szCs w:val="24"/>
        </w:rPr>
        <w:t>. The regions covered included</w:t>
      </w:r>
      <w:r w:rsidR="0090516B" w:rsidRPr="002D6698">
        <w:rPr>
          <w:sz w:val="24"/>
          <w:szCs w:val="24"/>
        </w:rPr>
        <w:t xml:space="preserve"> the north-south axis of the Delta from the Sacramento River north </w:t>
      </w:r>
      <w:r w:rsidR="0090516B" w:rsidRPr="000421CD">
        <w:rPr>
          <w:sz w:val="24"/>
          <w:szCs w:val="24"/>
        </w:rPr>
        <w:t>of Freeport to the Harvey Banks export facility located in the southern Delta, including Old and Middle Rivers; the east-west axis of the Delta from the Sacramento River at Rio Vista to the San Joaquin River at Stockton, including Disappointment Slough and the North and South Forks of the Mokelumne River; and the northern and western Delta from the northern reaches of the Cache Slough Complex to the Grizzly, Honker, and Suisun Bays</w:t>
      </w:r>
      <w:r>
        <w:rPr>
          <w:sz w:val="24"/>
          <w:szCs w:val="24"/>
        </w:rPr>
        <w:t xml:space="preserve">. </w:t>
      </w:r>
      <w:r w:rsidR="00267104">
        <w:rPr>
          <w:sz w:val="24"/>
          <w:szCs w:val="24"/>
        </w:rPr>
        <w:t xml:space="preserve">On each day, the route of the mapping survey was determined by weather, tides and other logistical considerations. </w:t>
      </w:r>
      <w:r w:rsidR="0090516B" w:rsidRPr="000421CD">
        <w:rPr>
          <w:sz w:val="24"/>
          <w:szCs w:val="24"/>
        </w:rPr>
        <w:t>Data were collected at high speed to minimize the extent to which tidal currents obscure nutrient and phytoplankton distributions.</w:t>
      </w:r>
      <w:r w:rsidR="00535A26" w:rsidRPr="000421CD">
        <w:rPr>
          <w:sz w:val="24"/>
          <w:szCs w:val="24"/>
        </w:rPr>
        <w:t xml:space="preserve"> </w:t>
      </w:r>
    </w:p>
    <w:p w14:paraId="2CF29EEE" w14:textId="77777777" w:rsidR="00AB73DA" w:rsidRPr="00CE565C" w:rsidRDefault="00AB73DA" w:rsidP="00C644D2">
      <w:pPr>
        <w:pStyle w:val="Heading2"/>
        <w:spacing w:before="0" w:line="22" w:lineRule="atLeast"/>
        <w:ind w:left="-5" w:hanging="10"/>
        <w:rPr>
          <w:rFonts w:ascii="Calibri" w:eastAsia="Calibri" w:hAnsi="Calibri" w:cs="Calibri"/>
          <w:b/>
          <w:bCs/>
          <w:color w:val="000000"/>
          <w:szCs w:val="22"/>
        </w:rPr>
      </w:pPr>
      <w:bookmarkStart w:id="3" w:name="_Toc34055478"/>
      <w:bookmarkEnd w:id="2"/>
      <w:r w:rsidRPr="00CE565C">
        <w:rPr>
          <w:rFonts w:ascii="Calibri" w:eastAsia="Calibri" w:hAnsi="Calibri" w:cs="Calibri"/>
          <w:b/>
          <w:bCs/>
          <w:color w:val="000000"/>
          <w:szCs w:val="22"/>
        </w:rPr>
        <w:t>Sampling and analysis</w:t>
      </w:r>
      <w:bookmarkEnd w:id="3"/>
    </w:p>
    <w:p w14:paraId="4F9B3E44" w14:textId="77777777" w:rsidR="003474C3" w:rsidRPr="003474C3" w:rsidRDefault="003474C3" w:rsidP="00C644D2">
      <w:pPr>
        <w:keepNext/>
        <w:keepLines/>
        <w:spacing w:after="0" w:line="22" w:lineRule="atLeast"/>
        <w:ind w:left="-5" w:hanging="10"/>
        <w:outlineLvl w:val="2"/>
        <w:rPr>
          <w:rFonts w:ascii="Calibri" w:eastAsia="Calibri" w:hAnsi="Calibri" w:cs="Calibri"/>
          <w:b/>
          <w:bCs/>
          <w:color w:val="000000"/>
          <w:sz w:val="24"/>
        </w:rPr>
      </w:pPr>
      <w:bookmarkStart w:id="4" w:name="_Toc34055479"/>
      <w:r w:rsidRPr="003474C3">
        <w:rPr>
          <w:rFonts w:ascii="Calibri" w:eastAsia="Calibri" w:hAnsi="Calibri" w:cs="Calibri"/>
          <w:b/>
          <w:bCs/>
          <w:color w:val="000000"/>
          <w:sz w:val="24"/>
        </w:rPr>
        <w:t xml:space="preserve">Underway high resolution (HR) water sampling and onboard analyses </w:t>
      </w:r>
    </w:p>
    <w:bookmarkEnd w:id="4"/>
    <w:p w14:paraId="0369DFFB" w14:textId="60949623" w:rsidR="00266554" w:rsidRPr="007A22FA" w:rsidRDefault="00266554" w:rsidP="00EF3DAD">
      <w:pPr>
        <w:spacing w:after="170"/>
        <w:ind w:left="-5" w:right="53"/>
        <w:rPr>
          <w:sz w:val="24"/>
          <w:szCs w:val="24"/>
        </w:rPr>
      </w:pPr>
      <w:r w:rsidRPr="007A22FA">
        <w:rPr>
          <w:sz w:val="24"/>
          <w:szCs w:val="24"/>
        </w:rPr>
        <w:t xml:space="preserve">Surveys were conducted during daylight hours from a moving boat, the USGS research vessel (R/V) George Aiken on successive days, following the approach described by Fichot and others (2016), Downing and others (2016), Kimmerer and others (2019), and Stumpner and others (2020). Surveys were conducted on: May 16, 17, 18, and 19; July 17, 18, 19, and 20; and October 17, 18, 19, and 20. For analysis, sample water was continuously pumped onto the boat using two SHURflo Aqua King II pumps at a pressure of 60 psi and rate of 5 GPM (SHURflo Pentair, London, United Kingdom) while underway at speeds up to 30 mph (13 m/s) using a </w:t>
      </w:r>
      <w:r w:rsidRPr="007A22FA">
        <w:rPr>
          <w:sz w:val="24"/>
          <w:szCs w:val="24"/>
        </w:rPr>
        <w:lastRenderedPageBreak/>
        <w:t>pick-up tube mounted at a fixed depth of approximately 1 m below the surface.  Water was routed through a 178</w:t>
      </w:r>
      <w:r w:rsidR="009219E8">
        <w:rPr>
          <w:sz w:val="24"/>
          <w:szCs w:val="24"/>
        </w:rPr>
        <w:t xml:space="preserve"> micron</w:t>
      </w:r>
      <w:r w:rsidRPr="007A22FA">
        <w:rPr>
          <w:sz w:val="24"/>
          <w:szCs w:val="24"/>
        </w:rPr>
        <w:t xml:space="preserve"> </w:t>
      </w:r>
      <w:r w:rsidR="009219E8">
        <w:rPr>
          <w:sz w:val="24"/>
          <w:szCs w:val="24"/>
        </w:rPr>
        <w:t>(</w:t>
      </w:r>
      <w:r w:rsidR="00134C07">
        <w:rPr>
          <w:sz w:val="24"/>
          <w:szCs w:val="24"/>
        </w:rPr>
        <w:t>u</w:t>
      </w:r>
      <w:r w:rsidRPr="007A22FA">
        <w:rPr>
          <w:sz w:val="24"/>
          <w:szCs w:val="24"/>
        </w:rPr>
        <w:t>m</w:t>
      </w:r>
      <w:r w:rsidR="009219E8">
        <w:rPr>
          <w:sz w:val="24"/>
          <w:szCs w:val="24"/>
        </w:rPr>
        <w:t>)</w:t>
      </w:r>
      <w:r w:rsidRPr="007A22FA">
        <w:rPr>
          <w:sz w:val="24"/>
          <w:szCs w:val="24"/>
        </w:rPr>
        <w:t xml:space="preserve"> in-line strainer (Cole Parmer; EW-29595-47, Vernon Hills, Illinois) to remove large debris. Sample water was split into separate flow paths as describe below, and each flow path was routed through a pressure-compensated manifold that maintained system pressure at a pr</w:t>
      </w:r>
      <w:r w:rsidR="007B728E">
        <w:rPr>
          <w:sz w:val="24"/>
          <w:szCs w:val="24"/>
        </w:rPr>
        <w:t>e</w:t>
      </w:r>
      <w:r w:rsidRPr="007A22FA">
        <w:rPr>
          <w:sz w:val="24"/>
          <w:szCs w:val="24"/>
        </w:rPr>
        <w:t>scribed level (~20 PSI) irrespective of boat speed (Downing and others, 2016). A 2-stage debubbler was used to remove bubbles</w:t>
      </w:r>
      <w:r w:rsidR="00AD5CF1">
        <w:rPr>
          <w:sz w:val="24"/>
          <w:szCs w:val="24"/>
        </w:rPr>
        <w:t xml:space="preserve"> that</w:t>
      </w:r>
      <w:r w:rsidRPr="007A22FA">
        <w:rPr>
          <w:sz w:val="24"/>
          <w:szCs w:val="24"/>
        </w:rPr>
        <w:t xml:space="preserve"> can interfere with instrument performance.  Flow rates were maintained by metering the discharge line, except for the flow path serving the open split interface, which was metered on the feed line. Flows were continuously monitored using a sight gauge (0.1-1 GPM Flow Meter LZM-15 with adjustable knob) for each flow path. </w:t>
      </w:r>
    </w:p>
    <w:p w14:paraId="3938BA37" w14:textId="1DC61761" w:rsidR="00266554" w:rsidRPr="007A22FA" w:rsidRDefault="00266554" w:rsidP="00266554">
      <w:pPr>
        <w:spacing w:after="170"/>
        <w:ind w:left="-5" w:right="53"/>
        <w:rPr>
          <w:rFonts w:eastAsiaTheme="minorEastAsia"/>
          <w:sz w:val="24"/>
          <w:szCs w:val="24"/>
        </w:rPr>
      </w:pPr>
      <w:r w:rsidRPr="007A22FA">
        <w:rPr>
          <w:rFonts w:eastAsiaTheme="minorEastAsia"/>
          <w:sz w:val="24"/>
          <w:szCs w:val="24"/>
        </w:rPr>
        <w:t>A manifold delivered unfiltered water to the following flow paths: (1) A flow-through system consisting of a thermosalinograph that recorded temperature, conductance, and salinity (Sea-Bird Scientific SB45 (TSG), Belluve, Washington); fluorometers that measured fluorescence of chlorophyll (fCHL) and fluorescence of dissolved organic matter (fDOM, Sea-Bird Scientific WETstar (WS), Philomath, Oregon); a beam transmissometer that recorded transmittance (Sea-Bird Scientific model C-Star transmissometer (CStar), Philomath, Oregon); a nitrate (NO3) analyzer (SUNA V2; Sea-Bird Scientific, Bellevue, Washington). (2) A second path provides water to a</w:t>
      </w:r>
      <w:r w:rsidRPr="007A22FA" w:rsidDel="60D540D5">
        <w:rPr>
          <w:rFonts w:eastAsiaTheme="minorEastAsia"/>
          <w:sz w:val="24"/>
          <w:szCs w:val="24"/>
        </w:rPr>
        <w:t xml:space="preserve"> </w:t>
      </w:r>
      <w:r w:rsidRPr="007A22FA">
        <w:rPr>
          <w:rFonts w:eastAsiaTheme="minorEastAsia"/>
          <w:sz w:val="24"/>
          <w:szCs w:val="24"/>
        </w:rPr>
        <w:t xml:space="preserve">multiparameter water quality sonde (YSI EXO2; Xylem Inc. (EXO), Rye Brook, New York) equipped with sensors to measure temperature, specific conductance (SpC), turbidity, pH, dissolved oxygen (DO), fDOM and fCHL. (3) A third path passed water to a fluorometer designed to measure different algal classes (FluoroProbe III (FP); BBE Moldaenke, Schwentinental, Germany; Eijkelkamp, 2014; Beutler and others, 2002). </w:t>
      </w:r>
    </w:p>
    <w:p w14:paraId="6BDA9906" w14:textId="6F36B8EB" w:rsidR="00266554" w:rsidRPr="007A22FA" w:rsidRDefault="00266554" w:rsidP="00266554">
      <w:pPr>
        <w:ind w:right="53"/>
        <w:rPr>
          <w:rFonts w:eastAsiaTheme="minorEastAsia"/>
          <w:sz w:val="24"/>
          <w:szCs w:val="24"/>
        </w:rPr>
      </w:pPr>
      <w:r w:rsidRPr="007A22FA">
        <w:rPr>
          <w:rFonts w:eastAsiaTheme="minorEastAsia"/>
          <w:sz w:val="24"/>
          <w:szCs w:val="24"/>
        </w:rPr>
        <w:t xml:space="preserve">A second manifold was setup to provide 0.2 micron filtered (Osmonics Memtrex, 25 cm length, 0.2 </w:t>
      </w:r>
      <w:r w:rsidR="009219E8">
        <w:rPr>
          <w:rFonts w:eastAsiaTheme="minorEastAsia"/>
          <w:sz w:val="24"/>
          <w:szCs w:val="24"/>
        </w:rPr>
        <w:t>u</w:t>
      </w:r>
      <w:r w:rsidRPr="007A22FA">
        <w:rPr>
          <w:rFonts w:eastAsiaTheme="minorEastAsia"/>
          <w:sz w:val="24"/>
          <w:szCs w:val="24"/>
        </w:rPr>
        <w:t>m pore size; MNY921EGS; Osmonics, Inc.) water to an open-split interface at atmospheric pressure, which served water to the on-board ammonium (NH4) analyzer and a water stable isotope analyzer (Picarro Inc, Sunnyvale, California). The NH4 analyzer was a continuous flow, gas diffusion/conductivity-based (Carlson, 1978) analyzer for ammonium (NH4) analysis (TL-2800; Timberline Instruments, Boulder, Colorado) that was modified for field operation and continuous data collection by the manufacturer (</w:t>
      </w:r>
      <w:r w:rsidR="00361C63" w:rsidRPr="00E219B5">
        <w:rPr>
          <w:rFonts w:eastAsiaTheme="minorEastAsia"/>
          <w:sz w:val="24"/>
          <w:szCs w:val="24"/>
        </w:rPr>
        <w:t>Richardson</w:t>
      </w:r>
      <w:r w:rsidRPr="00E219B5">
        <w:rPr>
          <w:rFonts w:eastAsiaTheme="minorEastAsia"/>
          <w:sz w:val="24"/>
          <w:szCs w:val="24"/>
        </w:rPr>
        <w:t xml:space="preserve"> and others, 2023</w:t>
      </w:r>
      <w:r w:rsidR="00E219B5" w:rsidRPr="00E219B5">
        <w:rPr>
          <w:rFonts w:eastAsiaTheme="minorEastAsia"/>
          <w:sz w:val="24"/>
          <w:szCs w:val="24"/>
        </w:rPr>
        <w:t>b</w:t>
      </w:r>
      <w:r w:rsidRPr="00E219B5">
        <w:rPr>
          <w:rFonts w:eastAsiaTheme="minorEastAsia"/>
          <w:sz w:val="24"/>
          <w:szCs w:val="24"/>
        </w:rPr>
        <w:t xml:space="preserve">). </w:t>
      </w:r>
      <w:r w:rsidRPr="007A22FA">
        <w:rPr>
          <w:rFonts w:eastAsiaTheme="minorEastAsia"/>
          <w:sz w:val="24"/>
          <w:szCs w:val="24"/>
        </w:rPr>
        <w:t xml:space="preserve">Modifications included installation in a ruggedized housing, addition of an automated line-switching valve, addition of a heating unit to maintain the instrument at a constant above-ambient temperature, and changes to the software. </w:t>
      </w:r>
      <w:bookmarkStart w:id="5" w:name="_Hlk131598519"/>
      <w:r w:rsidRPr="007A22FA">
        <w:rPr>
          <w:rFonts w:eastAsiaTheme="minorEastAsia"/>
          <w:sz w:val="24"/>
          <w:szCs w:val="24"/>
        </w:rPr>
        <w:t>The analyzer was run in continuous mode with frequent periodic introduction of deionized organic-free water (OFW, resistivity &gt;18.2 M</w:t>
      </w:r>
      <w:r w:rsidR="009219E8">
        <w:rPr>
          <w:rFonts w:eastAsiaTheme="minorEastAsia"/>
          <w:sz w:val="24"/>
          <w:szCs w:val="24"/>
        </w:rPr>
        <w:t>ohm</w:t>
      </w:r>
      <w:r w:rsidRPr="007A22FA">
        <w:rPr>
          <w:rFonts w:eastAsiaTheme="minorEastAsia"/>
          <w:sz w:val="24"/>
          <w:szCs w:val="24"/>
        </w:rPr>
        <w:t xml:space="preserve">/cm), and standard solutions to continuously assess instrument performance and to correct for baseline drift during the day. </w:t>
      </w:r>
      <w:bookmarkStart w:id="6" w:name="_Hlk131598238"/>
      <w:bookmarkEnd w:id="5"/>
      <w:r w:rsidRPr="007A22FA">
        <w:rPr>
          <w:rFonts w:eastAsiaTheme="minorEastAsia"/>
          <w:sz w:val="24"/>
          <w:szCs w:val="24"/>
        </w:rPr>
        <w:t>Full standard curves were run at the beginning and end of each day, and partial curves were run throughout the day</w:t>
      </w:r>
      <w:bookmarkEnd w:id="6"/>
      <w:r w:rsidRPr="007A22FA">
        <w:rPr>
          <w:rFonts w:eastAsiaTheme="minorEastAsia"/>
          <w:sz w:val="24"/>
          <w:szCs w:val="24"/>
        </w:rPr>
        <w:t xml:space="preserve">.  </w:t>
      </w:r>
    </w:p>
    <w:p w14:paraId="01DF8E60" w14:textId="15E02901" w:rsidR="00266554" w:rsidRPr="007A22FA" w:rsidRDefault="00266554" w:rsidP="00266554">
      <w:pPr>
        <w:spacing w:after="0"/>
        <w:rPr>
          <w:rFonts w:eastAsiaTheme="minorEastAsia"/>
          <w:sz w:val="24"/>
          <w:szCs w:val="24"/>
        </w:rPr>
      </w:pPr>
      <w:r w:rsidRPr="007A22FA">
        <w:rPr>
          <w:rFonts w:eastAsiaTheme="minorEastAsia"/>
          <w:sz w:val="24"/>
          <w:szCs w:val="24"/>
        </w:rPr>
        <w:t xml:space="preserve">Continuous measurements of the stable isotopic ratios of oxygen and hydrogen in water were made using a Picarro Cavity Ring-down Spectrometer (A0217 and L2130-i, Picarro, Inc.) (Downing and others, 2016). Prior to field work, three secondary standards and one tertiary </w:t>
      </w:r>
      <w:r w:rsidRPr="007A22FA">
        <w:rPr>
          <w:rFonts w:eastAsiaTheme="minorEastAsia"/>
          <w:sz w:val="24"/>
          <w:szCs w:val="24"/>
        </w:rPr>
        <w:lastRenderedPageBreak/>
        <w:t xml:space="preserve">standard were run on the Picarro; the secondary standards are sold as a set from Picarro (part number C0356). The tertiary standard is Kona Deep bottled </w:t>
      </w:r>
      <w:r w:rsidRPr="007A22FA">
        <w:rPr>
          <w:rFonts w:eastAsiaTheme="minorEastAsia" w:cstheme="minorHAnsi"/>
          <w:sz w:val="24"/>
          <w:szCs w:val="24"/>
        </w:rPr>
        <w:t>water (</w:t>
      </w:r>
      <w:hyperlink r:id="rId9">
        <w:r w:rsidRPr="007A22FA">
          <w:rPr>
            <w:rStyle w:val="Hyperlink"/>
            <w:rFonts w:eastAsia="Times New Roman" w:cstheme="minorHAnsi"/>
            <w:sz w:val="24"/>
            <w:szCs w:val="24"/>
          </w:rPr>
          <w:t>https://konadeep.com</w:t>
        </w:r>
      </w:hyperlink>
      <w:r w:rsidRPr="007A22FA">
        <w:rPr>
          <w:rFonts w:eastAsiaTheme="minorEastAsia" w:cstheme="minorHAnsi"/>
          <w:sz w:val="24"/>
          <w:szCs w:val="24"/>
        </w:rPr>
        <w:t>).</w:t>
      </w:r>
      <w:r w:rsidRPr="007A22FA">
        <w:rPr>
          <w:rFonts w:eastAsiaTheme="minorEastAsia"/>
          <w:sz w:val="24"/>
          <w:szCs w:val="24"/>
        </w:rPr>
        <w:t xml:space="preserve"> Each standard was run for approximately 20 minutes, or until stable, and the last 2 minutes of data were used to calculate an average standard value. The tertiary standard was taken into the field and analyzed on the Picarro at the start and end of each sampling and approximately every four hours over the course of the field day. Sample splits of the tertiary standard were submitted to the Reston Stable Isotope Laboratory.</w:t>
      </w:r>
    </w:p>
    <w:p w14:paraId="1D5261BD" w14:textId="77777777" w:rsidR="00266554" w:rsidRPr="007A22FA" w:rsidRDefault="00266554" w:rsidP="00266554">
      <w:pPr>
        <w:spacing w:after="0"/>
        <w:rPr>
          <w:rFonts w:eastAsiaTheme="minorEastAsia"/>
          <w:sz w:val="24"/>
          <w:szCs w:val="24"/>
        </w:rPr>
      </w:pPr>
    </w:p>
    <w:p w14:paraId="77720269" w14:textId="78466A30" w:rsidR="006F72B7" w:rsidRPr="007A22FA" w:rsidRDefault="007933FD" w:rsidP="009900D2">
      <w:pPr>
        <w:ind w:left="-5" w:right="53"/>
        <w:rPr>
          <w:b/>
          <w:bCs/>
          <w:sz w:val="24"/>
          <w:szCs w:val="24"/>
        </w:rPr>
      </w:pPr>
      <w:r w:rsidRPr="007A22FA">
        <w:rPr>
          <w:rFonts w:eastAsiaTheme="minorEastAsia"/>
          <w:sz w:val="24"/>
          <w:szCs w:val="24"/>
        </w:rPr>
        <w:t xml:space="preserve">All instrumentation was cleaned, and calibrations were checked prior to each use following the manufacturer's recommendation or as described above. Data for most instruments were recorded at 1-second frequency on a single data logger (CR6, Campbell Scientific, Logan, Utah) together with a timestamp and boat position obtained from a high-resolution global positioning system receiver (16X-HVS, Garmin, Olathe, Kansas). The FluoroProbe logged data internally and to the host software </w:t>
      </w:r>
      <w:bookmarkStart w:id="7" w:name="_Hlk131598556"/>
      <w:r w:rsidRPr="007A22FA">
        <w:rPr>
          <w:rFonts w:eastAsiaTheme="minorEastAsia"/>
          <w:sz w:val="24"/>
          <w:szCs w:val="24"/>
        </w:rPr>
        <w:t>every 1-2 seconds</w:t>
      </w:r>
      <w:bookmarkEnd w:id="7"/>
      <w:r w:rsidRPr="007A22FA">
        <w:rPr>
          <w:rFonts w:eastAsiaTheme="minorEastAsia"/>
          <w:sz w:val="24"/>
          <w:szCs w:val="24"/>
        </w:rPr>
        <w:t xml:space="preserve">. </w:t>
      </w:r>
      <w:bookmarkStart w:id="8" w:name="_Hlk125377822"/>
      <w:r w:rsidRPr="007A22FA">
        <w:rPr>
          <w:rFonts w:eastAsiaTheme="minorEastAsia"/>
          <w:sz w:val="24"/>
          <w:szCs w:val="24"/>
        </w:rPr>
        <w:t>The Timberline NH4 analyzer was connected to a stand-alone computer and collected data through its native software.</w:t>
      </w:r>
      <w:bookmarkEnd w:id="8"/>
      <w:r w:rsidRPr="007A22FA">
        <w:rPr>
          <w:rFonts w:eastAsiaTheme="minorEastAsia"/>
          <w:sz w:val="24"/>
          <w:szCs w:val="24"/>
        </w:rPr>
        <w:t xml:space="preserve"> The Picarro water stable isotope analyzer collected and logged data through its native software to an internal computer. All data were displayed in real time, so scientists on board could respond when they observed changes relevant to study objectives, or if issues with flow or instrument performance were noted.</w:t>
      </w:r>
      <w:r w:rsidRPr="007A22FA">
        <w:rPr>
          <w:rFonts w:eastAsiaTheme="minorEastAsia"/>
          <w:i/>
          <w:iCs/>
          <w:sz w:val="24"/>
          <w:szCs w:val="24"/>
        </w:rPr>
        <w:t xml:space="preserve"> </w:t>
      </w:r>
      <w:bookmarkStart w:id="9" w:name="_Hlk131598584"/>
      <w:r w:rsidRPr="007A22FA">
        <w:rPr>
          <w:rFonts w:eastAsiaTheme="minorEastAsia"/>
          <w:sz w:val="24"/>
          <w:szCs w:val="24"/>
        </w:rPr>
        <w:t xml:space="preserve">Data collected in situ are referred to as high resolution (HR) parameters.  </w:t>
      </w:r>
      <w:bookmarkEnd w:id="9"/>
    </w:p>
    <w:p w14:paraId="7F7760B5" w14:textId="6FC86FB2" w:rsidR="002508EF" w:rsidRPr="007A22FA" w:rsidRDefault="002508EF" w:rsidP="006F72B7">
      <w:pPr>
        <w:pStyle w:val="Heading3"/>
        <w:spacing w:before="0" w:beforeAutospacing="0" w:after="0" w:afterAutospacing="0" w:line="22" w:lineRule="atLeast"/>
        <w:rPr>
          <w:rFonts w:asciiTheme="minorHAnsi" w:hAnsiTheme="minorHAnsi" w:cstheme="minorHAnsi"/>
          <w:sz w:val="26"/>
          <w:szCs w:val="26"/>
        </w:rPr>
      </w:pPr>
      <w:r w:rsidRPr="007A22FA">
        <w:rPr>
          <w:rFonts w:asciiTheme="minorHAnsi" w:hAnsiTheme="minorHAnsi" w:cstheme="minorHAnsi"/>
          <w:sz w:val="26"/>
          <w:szCs w:val="26"/>
        </w:rPr>
        <w:t>Discrete water sampling and laboratory analyses</w:t>
      </w:r>
    </w:p>
    <w:p w14:paraId="284A1B39" w14:textId="2F247BAB" w:rsidR="006F72B7" w:rsidRPr="007A22FA" w:rsidRDefault="007C6D16" w:rsidP="005A1EB3">
      <w:pPr>
        <w:ind w:left="-5" w:right="53"/>
        <w:rPr>
          <w:sz w:val="24"/>
          <w:szCs w:val="24"/>
        </w:rPr>
      </w:pPr>
      <w:r w:rsidRPr="007A22FA">
        <w:rPr>
          <w:sz w:val="24"/>
          <w:szCs w:val="24"/>
        </w:rPr>
        <w:t xml:space="preserve">Discrete water samples (DS) were collected either while underway or–in the case of more extensive sample requirements–while stopped on station. Discrete samples </w:t>
      </w:r>
      <w:r w:rsidR="00BB1331">
        <w:rPr>
          <w:sz w:val="24"/>
          <w:szCs w:val="24"/>
        </w:rPr>
        <w:t xml:space="preserve">(DS) </w:t>
      </w:r>
      <w:r w:rsidRPr="007A22FA">
        <w:rPr>
          <w:sz w:val="24"/>
          <w:szCs w:val="24"/>
        </w:rPr>
        <w:t>were collected while underway by passing water from the pickup tube</w:t>
      </w:r>
      <w:r w:rsidRPr="007A22FA" w:rsidDel="00A347F0">
        <w:rPr>
          <w:sz w:val="24"/>
          <w:szCs w:val="24"/>
        </w:rPr>
        <w:t xml:space="preserve"> </w:t>
      </w:r>
      <w:r w:rsidRPr="007A22FA">
        <w:rPr>
          <w:sz w:val="24"/>
          <w:szCs w:val="24"/>
        </w:rPr>
        <w:t xml:space="preserve">through a 0.2-micron filter into a sample bottle. At designated sampling stations (approximately 10 per day) samples for determination of NH4, NO2, NO3, PO4, dissolved organic carbon (DOC), total dissolved nitrogen (TDN), total dissolved phosphorus (TDP) concentrations and water isotopes were collected using this system. Additionally, unfiltered samples were collected approximately from 1 m depth using a submersible pump for analysis of </w:t>
      </w:r>
      <w:bookmarkStart w:id="10" w:name="_Hlk131669610"/>
      <w:r w:rsidRPr="007A22FA">
        <w:rPr>
          <w:sz w:val="24"/>
          <w:szCs w:val="24"/>
        </w:rPr>
        <w:t xml:space="preserve">chlorophyll a (Chl </w:t>
      </w:r>
      <w:r w:rsidRPr="007A22FA">
        <w:rPr>
          <w:i/>
          <w:sz w:val="24"/>
          <w:szCs w:val="24"/>
        </w:rPr>
        <w:t>a</w:t>
      </w:r>
      <w:r w:rsidRPr="007A22FA">
        <w:rPr>
          <w:sz w:val="24"/>
          <w:szCs w:val="24"/>
        </w:rPr>
        <w:t xml:space="preserve">) concentration, </w:t>
      </w:r>
      <w:bookmarkEnd w:id="10"/>
      <w:r w:rsidRPr="007A22FA">
        <w:rPr>
          <w:sz w:val="24"/>
          <w:szCs w:val="24"/>
        </w:rPr>
        <w:t xml:space="preserve">pheophytin concentration, phytoplankton enumeration, and picophytoplankton enumeration. Samples for phytoplankton enumeration </w:t>
      </w:r>
      <w:r w:rsidR="00134C07">
        <w:rPr>
          <w:sz w:val="24"/>
          <w:szCs w:val="24"/>
        </w:rPr>
        <w:t xml:space="preserve">(PE) </w:t>
      </w:r>
      <w:r w:rsidRPr="007A22FA">
        <w:rPr>
          <w:sz w:val="24"/>
          <w:szCs w:val="24"/>
        </w:rPr>
        <w:t>and picophytoplankton enumeration</w:t>
      </w:r>
      <w:r w:rsidRPr="007A22FA" w:rsidDel="00A347F0">
        <w:rPr>
          <w:sz w:val="24"/>
          <w:szCs w:val="24"/>
        </w:rPr>
        <w:t xml:space="preserve"> </w:t>
      </w:r>
      <w:r w:rsidRPr="007A22FA">
        <w:rPr>
          <w:sz w:val="24"/>
          <w:szCs w:val="24"/>
        </w:rPr>
        <w:t xml:space="preserve">were fixed immediately with Lugol’s iodine solution (~5%) and formaldehyde (~2%), respectively.  </w:t>
      </w:r>
    </w:p>
    <w:p w14:paraId="6299ED23" w14:textId="5B21B489" w:rsidR="007933FD" w:rsidRPr="007A22FA" w:rsidRDefault="005A1EB3" w:rsidP="007933FD">
      <w:pPr>
        <w:ind w:left="-5" w:right="53"/>
        <w:rPr>
          <w:rFonts w:ascii="Times New Roman" w:eastAsia="Times New Roman" w:hAnsi="Times New Roman" w:cs="Times New Roman"/>
          <w:color w:val="000000" w:themeColor="text1"/>
          <w:sz w:val="24"/>
          <w:szCs w:val="24"/>
        </w:rPr>
      </w:pPr>
      <w:r w:rsidRPr="007A22FA">
        <w:rPr>
          <w:sz w:val="24"/>
          <w:szCs w:val="24"/>
        </w:rPr>
        <w:t>Most samples were stored on wet ice in the dark during transit to the laboratory where they were stored at 2°C. Samples for picophytoplankton</w:t>
      </w:r>
      <w:r w:rsidRPr="007A22FA">
        <w:rPr>
          <w:color w:val="FF0000"/>
          <w:sz w:val="24"/>
          <w:szCs w:val="24"/>
        </w:rPr>
        <w:t xml:space="preserve"> </w:t>
      </w:r>
      <w:r w:rsidRPr="007A22FA">
        <w:rPr>
          <w:sz w:val="24"/>
          <w:szCs w:val="24"/>
        </w:rPr>
        <w:t xml:space="preserve">analysis were stored on dry ice in the dark during transit to the laboratory where they were stored at -80°C. Dissolved organic carbon samples were preserved to &lt;2 pH with high-purity sulfuric acid the day following collection and stored at 2°C. Samples for pigment analysis were filtered within 24 hours of collection and immediately frozen (-80°C). Total Chl </w:t>
      </w:r>
      <w:r w:rsidRPr="007A22FA">
        <w:rPr>
          <w:i/>
          <w:iCs/>
          <w:sz w:val="24"/>
          <w:szCs w:val="24"/>
        </w:rPr>
        <w:t>a</w:t>
      </w:r>
      <w:r w:rsidRPr="007A22FA">
        <w:rPr>
          <w:sz w:val="24"/>
          <w:szCs w:val="24"/>
        </w:rPr>
        <w:t xml:space="preserve"> samples were filtered through a 0.7 </w:t>
      </w:r>
      <w:r w:rsidR="00502487">
        <w:rPr>
          <w:sz w:val="24"/>
          <w:szCs w:val="24"/>
        </w:rPr>
        <w:t>u</w:t>
      </w:r>
      <w:r w:rsidRPr="007A22FA">
        <w:rPr>
          <w:sz w:val="24"/>
          <w:szCs w:val="24"/>
        </w:rPr>
        <w:t xml:space="preserve">m nominal pore size glass fiber filter (Advantec MFS, Inc, Dublin, California). Chl </w:t>
      </w:r>
      <w:r w:rsidRPr="007A22FA">
        <w:rPr>
          <w:i/>
          <w:sz w:val="24"/>
          <w:szCs w:val="24"/>
        </w:rPr>
        <w:t>a</w:t>
      </w:r>
      <w:r w:rsidRPr="007A22FA">
        <w:rPr>
          <w:sz w:val="24"/>
          <w:szCs w:val="24"/>
        </w:rPr>
        <w:t xml:space="preserve"> associated with the larger sized cell fraction were filtered through a 5 </w:t>
      </w:r>
      <w:r w:rsidR="0057672E">
        <w:rPr>
          <w:sz w:val="24"/>
          <w:szCs w:val="24"/>
        </w:rPr>
        <w:t>u</w:t>
      </w:r>
      <w:r w:rsidRPr="007A22FA">
        <w:rPr>
          <w:sz w:val="24"/>
          <w:szCs w:val="24"/>
        </w:rPr>
        <w:t xml:space="preserve">m nominal pore size 25 mm polycarbonate filter </w:t>
      </w:r>
      <w:r w:rsidRPr="007A22FA">
        <w:rPr>
          <w:sz w:val="24"/>
          <w:szCs w:val="24"/>
        </w:rPr>
        <w:lastRenderedPageBreak/>
        <w:t xml:space="preserve">(General Electric Healthcare, Chicago, Illinois). Chilled nutrient samples were shipped to the Chesapeake Biological Laboratory (Solomons, Maryland) for analysis. Frozen Chl </w:t>
      </w:r>
      <w:r w:rsidRPr="007A22FA">
        <w:rPr>
          <w:i/>
          <w:iCs/>
          <w:sz w:val="24"/>
          <w:szCs w:val="24"/>
        </w:rPr>
        <w:t>a</w:t>
      </w:r>
      <w:r w:rsidRPr="007A22FA">
        <w:rPr>
          <w:sz w:val="24"/>
          <w:szCs w:val="24"/>
        </w:rPr>
        <w:t xml:space="preserve"> samples were shipped to the USGS National Water Quality Laboratory </w:t>
      </w:r>
      <w:bookmarkStart w:id="11" w:name="_Hlk61259557"/>
      <w:r w:rsidR="007933FD" w:rsidRPr="007A22FA">
        <w:rPr>
          <w:sz w:val="24"/>
          <w:szCs w:val="24"/>
        </w:rPr>
        <w:t>(Denver, Colorado). Phytoplankton and picophytoplankton enumeration samples were shipped to BSA Environmental Services, Inc. (Beachwood, Ohio) for analysi</w:t>
      </w:r>
      <w:r w:rsidR="007933FD" w:rsidRPr="007A22FA">
        <w:rPr>
          <w:color w:val="000000" w:themeColor="text1"/>
          <w:sz w:val="24"/>
          <w:szCs w:val="24"/>
        </w:rPr>
        <w:t xml:space="preserve">s. Water stable isotope samples were shipped to the USGS Reston Stable Isotope Lab (Reston, Virginia) for analysis. </w:t>
      </w:r>
    </w:p>
    <w:p w14:paraId="4A22CC11" w14:textId="7A9A37FA" w:rsidR="007933FD" w:rsidRPr="007A22FA" w:rsidRDefault="007933FD" w:rsidP="00F063EF">
      <w:pPr>
        <w:ind w:left="-5" w:right="53"/>
        <w:rPr>
          <w:sz w:val="24"/>
          <w:szCs w:val="24"/>
        </w:rPr>
      </w:pPr>
      <w:bookmarkStart w:id="12" w:name="_Hlk136439927"/>
      <w:bookmarkEnd w:id="11"/>
      <w:r w:rsidRPr="007A22FA">
        <w:rPr>
          <w:sz w:val="24"/>
          <w:szCs w:val="24"/>
        </w:rPr>
        <w:t xml:space="preserve">Concentrations of nutrients were determined colorimetrically using an automated discrete photometric analyzer. Concentration of nitrogen as nitrite (NO2-N) was determined by colorimetric analysis after diazotization with sulfanilamide (USEPA, 1993a).  For nitrate plus nitrite (NO3-N + NO2-N), samples were analyzed using enzymatic reduction (ASTM, </w:t>
      </w:r>
      <w:r w:rsidR="00CB3B02">
        <w:rPr>
          <w:sz w:val="24"/>
          <w:szCs w:val="24"/>
        </w:rPr>
        <w:t>20</w:t>
      </w:r>
      <w:r w:rsidR="00E9478B">
        <w:rPr>
          <w:sz w:val="24"/>
          <w:szCs w:val="24"/>
        </w:rPr>
        <w:t>14</w:t>
      </w:r>
      <w:r w:rsidRPr="007A22FA">
        <w:rPr>
          <w:sz w:val="24"/>
          <w:szCs w:val="24"/>
        </w:rPr>
        <w:t xml:space="preserve">), and if results were below the reporting limit of 0.15 </w:t>
      </w:r>
      <w:r w:rsidR="009219E8">
        <w:rPr>
          <w:sz w:val="24"/>
          <w:szCs w:val="24"/>
        </w:rPr>
        <w:t>milligrams per liter (</w:t>
      </w:r>
      <w:r w:rsidRPr="007A22FA">
        <w:rPr>
          <w:sz w:val="24"/>
          <w:szCs w:val="24"/>
        </w:rPr>
        <w:t>mg/L</w:t>
      </w:r>
      <w:r w:rsidR="009219E8">
        <w:rPr>
          <w:sz w:val="24"/>
          <w:szCs w:val="24"/>
        </w:rPr>
        <w:t>)</w:t>
      </w:r>
      <w:r w:rsidRPr="007A22FA">
        <w:rPr>
          <w:sz w:val="24"/>
          <w:szCs w:val="24"/>
        </w:rPr>
        <w:t>, they were rerun using cadmium reduction (USEPA, 1993a) due to the lower detection limit of that method. Concentration of ammonium as nitrogen (NH4-N) was determined by colorimetric analysis after reaction with alkaline phenol-hypochlorite (Rice and others, 2017). Orthophosphate as phosphorus (PO4-P; also referred to as soluble reactive phosphorus) was determined by colorimetric analysis after reaction with ammonium molybdate and reduction with ascorbic acid (USEPA, 1993b). Total dissolved nitrogen (TDN) and total dissolved phosphorus (TDP) were determined by alkaline persulfate digestion (USEPA 1993a, 1993b).</w:t>
      </w:r>
    </w:p>
    <w:bookmarkEnd w:id="12"/>
    <w:p w14:paraId="17907B63" w14:textId="77777777" w:rsidR="007D485B" w:rsidRPr="007A22FA" w:rsidRDefault="007D485B" w:rsidP="007D485B">
      <w:pPr>
        <w:ind w:left="-5" w:right="53"/>
        <w:rPr>
          <w:sz w:val="24"/>
          <w:szCs w:val="24"/>
        </w:rPr>
      </w:pPr>
      <w:r w:rsidRPr="007A22FA">
        <w:rPr>
          <w:sz w:val="24"/>
          <w:szCs w:val="24"/>
        </w:rPr>
        <w:t xml:space="preserve">Chl </w:t>
      </w:r>
      <w:r w:rsidRPr="007A22FA">
        <w:rPr>
          <w:i/>
          <w:iCs/>
          <w:sz w:val="24"/>
          <w:szCs w:val="24"/>
        </w:rPr>
        <w:t>a</w:t>
      </w:r>
      <w:r w:rsidRPr="007A22FA">
        <w:rPr>
          <w:sz w:val="24"/>
          <w:szCs w:val="24"/>
        </w:rPr>
        <w:t xml:space="preserve"> and phaeophytin concentrations were determined according to EPA Method 445.0 (Arar and Collins, 1997); 0.7 micron filtered samples were extracted using sonication while 5 micron filtered samples were extracted using mechanical grinding.</w:t>
      </w:r>
    </w:p>
    <w:p w14:paraId="6DCC668A" w14:textId="613DFAA1" w:rsidR="009331B0" w:rsidRPr="007A22FA" w:rsidRDefault="009331B0" w:rsidP="009331B0">
      <w:pPr>
        <w:ind w:right="53"/>
        <w:rPr>
          <w:sz w:val="24"/>
          <w:szCs w:val="24"/>
        </w:rPr>
      </w:pPr>
      <w:bookmarkStart w:id="13" w:name="_Hlk145344311"/>
      <w:r w:rsidRPr="007A22FA">
        <w:rPr>
          <w:sz w:val="24"/>
          <w:szCs w:val="24"/>
        </w:rPr>
        <w:t xml:space="preserve">Dissolved organic carbon concentrations were measured using a total organic carbon analyzer (TOC-VCSH, Shimadzu Scientific Instruments, Columbia, Maryland) using high-temperature catalytic combustion according to a modified version of USEPA method 415.3 (Potter and Wimsatt, 2012). Absorbance spectra and fluorescence EEMs were simultaneously measured using an Aqualog® equipped with a photodiode and charge-coupled device (CCD) (Horiba Instruments, NJ, USA) according to the method described by Hansen and others (2018). Briefly, excitation and absorbance spectra were measured using a 150 W xenon lamp, a 5 nm bandpass, and a 1 s integration time at wavelengths of 240–600 nm. Emission spectra were collected with a CCD at approximately 1.64 nm (4 pixel) intervals at 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and others (2016). </w:t>
      </w:r>
      <w:bookmarkEnd w:id="13"/>
    </w:p>
    <w:p w14:paraId="11BB2449" w14:textId="5E217572" w:rsidR="009900D2" w:rsidRPr="007A22FA" w:rsidRDefault="009900D2" w:rsidP="007204FB">
      <w:pPr>
        <w:rPr>
          <w:sz w:val="24"/>
          <w:szCs w:val="24"/>
        </w:rPr>
      </w:pPr>
      <w:r w:rsidRPr="009900D2">
        <w:rPr>
          <w:sz w:val="24"/>
          <w:szCs w:val="24"/>
        </w:rPr>
        <w:t xml:space="preserve">Phytoplankton enumeration was completed by BSA Environmental Services in accordance with the American Public Health Association (APHA) Standard Method 10200 (2023). This method focuses on counting and identifying microplankon (20-200 microns) and nanoplankton (2 to 20 microns). Briefly, phytoplankton were enumerated to the lowest possible taxonomic level using membrane-filtered slides, as described in McNabb (1960), and counted using a Leica DMLB </w:t>
      </w:r>
      <w:r w:rsidRPr="009900D2">
        <w:rPr>
          <w:sz w:val="24"/>
          <w:szCs w:val="24"/>
        </w:rPr>
        <w:lastRenderedPageBreak/>
        <w:t xml:space="preserve">compound microscope. The magnification used (100X - 1000X) depended upon the size of the dominant taxa and presence of particulates to ensure that enumeration and identification of taxa of various sizes was achieved. A minimum of 400 natural units (colonies, filaments, and unicells) or a minimum of 50 fields were counted from each sample. Counting 400 natural units provides accuracy within 90-percent confidence limits (Lund and others, 1958). In addition, an entire strip of the filter was counted at high magnification (usually 630X) along with one-half of the filter at a lower magnification (usually 400X) to ensure complete species reporting. Cell biovolume of all identified taxa were estimated using formulae for solid geometric shapes that most closely match the cell shape (Hillebrand and others, 1999). Biovolume calculations were based on measurements of 10 organisms per taxon for each sample, where possible. For taxa with substantial size variation (such as diatoms), size classes were designated arbitrarily to determine average cell size (biovolume). For each taxon, 10 cells were measured from each size class (assuming that enough were available). The mean biovolume within each size class were used to calculate the total biovolume contributed by the taxon to its representative sample (Burkholder and Wetzel, 1989). </w:t>
      </w:r>
      <w:r w:rsidR="00E219B5" w:rsidRPr="00E219B5">
        <w:rPr>
          <w:rFonts w:ascii="Calibri" w:eastAsia="Calibri" w:hAnsi="Calibri" w:cs="Calibri"/>
          <w:color w:val="000000"/>
          <w:sz w:val="24"/>
        </w:rPr>
        <w:t xml:space="preserve">Additional phytoplankton enumeration data collected in the Delta can be found at </w:t>
      </w:r>
      <w:hyperlink r:id="rId10" w:history="1">
        <w:r w:rsidR="00E219B5" w:rsidRPr="00E219B5">
          <w:rPr>
            <w:rFonts w:ascii="Calibri" w:eastAsia="Calibri" w:hAnsi="Calibri" w:cs="Calibri"/>
            <w:color w:val="0563C1" w:themeColor="hyperlink"/>
            <w:sz w:val="24"/>
            <w:u w:val="single"/>
          </w:rPr>
          <w:t>https://doi.org/10.5066/P97ZBPLH</w:t>
        </w:r>
      </w:hyperlink>
      <w:r w:rsidR="00E219B5" w:rsidRPr="00E219B5">
        <w:rPr>
          <w:rFonts w:ascii="Calibri" w:eastAsia="Calibri" w:hAnsi="Calibri" w:cs="Calibri"/>
          <w:color w:val="000000"/>
          <w:sz w:val="24"/>
        </w:rPr>
        <w:t xml:space="preserve"> (Richardson and others, 2023a).</w:t>
      </w:r>
    </w:p>
    <w:p w14:paraId="0A0A4F2B" w14:textId="77777777" w:rsidR="009900D2" w:rsidRPr="007A22FA" w:rsidRDefault="009900D2" w:rsidP="009900D2">
      <w:pPr>
        <w:rPr>
          <w:sz w:val="24"/>
          <w:szCs w:val="24"/>
        </w:rPr>
      </w:pPr>
      <w:r w:rsidRPr="009900D2">
        <w:rPr>
          <w:sz w:val="24"/>
          <w:szCs w:val="24"/>
        </w:rPr>
        <w:t>Picophytoplankton were enumerated via epifluorescence microscopy as described by Murrell and Lores (2004) using a Leica DM2500 epifluorescence microscope equipped with a Xenon light source as well as multiple excitation and emission filter sets at 1000X total magnification. Phycoerythrin-containing cells (PE) and phycocyanin-containing cells (PC) were counted and measured separately and then summed to obtain total picophytoplankton densities and biovolume for cells sized between 0.2 and 2.0 microns. For each sample, a minimum of 300 cells were counted unless this tally was not reached within 100 fields.</w:t>
      </w:r>
    </w:p>
    <w:p w14:paraId="14C012F8" w14:textId="59A6E2E2" w:rsidR="003F7B58" w:rsidRPr="007A22FA" w:rsidRDefault="009900D2" w:rsidP="007204FB">
      <w:pPr>
        <w:rPr>
          <w:sz w:val="24"/>
          <w:szCs w:val="24"/>
        </w:rPr>
      </w:pPr>
      <w:r w:rsidRPr="009900D2">
        <w:rPr>
          <w:sz w:val="24"/>
          <w:szCs w:val="24"/>
        </w:rPr>
        <w:t>Stable isotope ratios of hydrogen and oxygen in water were analyzed by the Reston Stable Isotope Lab using</w:t>
      </w:r>
      <w:r w:rsidRPr="009900D2" w:rsidDel="0AD8C1D9">
        <w:rPr>
          <w:sz w:val="24"/>
          <w:szCs w:val="24"/>
        </w:rPr>
        <w:t xml:space="preserve"> </w:t>
      </w:r>
      <w:r w:rsidRPr="009900D2">
        <w:rPr>
          <w:sz w:val="24"/>
          <w:szCs w:val="24"/>
        </w:rPr>
        <w:t>methods described in USGS Techniques and Methods 10-C1 and 10-C2, respectively (Revesz and Coplen 2008a, 2008b). These ratios are expressed in delta notation (delta deuterium and delta oxygen-18), which indicates the relative difference in the ratio of the uncommon and common stable isotopes of the element in the sample with those of a standard reference material in units of per mil.</w:t>
      </w:r>
    </w:p>
    <w:p w14:paraId="707BEB7A" w14:textId="5F92C805" w:rsidR="00AB73DA" w:rsidRPr="007F4642" w:rsidRDefault="00AB73DA" w:rsidP="00C644D2">
      <w:pPr>
        <w:pStyle w:val="Heading2"/>
        <w:spacing w:before="0" w:line="22" w:lineRule="atLeast"/>
        <w:ind w:left="-5" w:hanging="10"/>
        <w:rPr>
          <w:rFonts w:ascii="Calibri" w:eastAsia="Calibri" w:hAnsi="Calibri" w:cs="Calibri"/>
          <w:b/>
          <w:bCs/>
          <w:color w:val="000000"/>
          <w:szCs w:val="22"/>
        </w:rPr>
      </w:pPr>
      <w:bookmarkStart w:id="14" w:name="_Toc34055481"/>
      <w:r w:rsidRPr="007F4642">
        <w:rPr>
          <w:rFonts w:ascii="Calibri" w:eastAsia="Calibri" w:hAnsi="Calibri" w:cs="Calibri"/>
          <w:b/>
          <w:bCs/>
          <w:color w:val="000000"/>
          <w:szCs w:val="22"/>
        </w:rPr>
        <w:t>Data processing</w:t>
      </w:r>
      <w:bookmarkEnd w:id="14"/>
    </w:p>
    <w:p w14:paraId="688143B9" w14:textId="59B6F8C0" w:rsidR="007A22FA" w:rsidRPr="007204FB" w:rsidRDefault="007A22FA" w:rsidP="007204FB">
      <w:pPr>
        <w:rPr>
          <w:sz w:val="24"/>
          <w:szCs w:val="24"/>
        </w:rPr>
      </w:pPr>
      <w:bookmarkStart w:id="15" w:name="_Hlk136599408"/>
      <w:r w:rsidRPr="007204FB">
        <w:rPr>
          <w:sz w:val="24"/>
          <w:szCs w:val="24"/>
        </w:rPr>
        <w:t xml:space="preserve">Final continuous NO3 values were obtained by regressing the SUNA instrument response against NO3 concentrations obtained from laboratory measurements of discrete samples collected through the course of the day (Pellerin and others, 2013). Individual sample results greater than three standard deviations from the regression were judged to be outliers and removed from the regression. Note that the method detection limit for the SUNA is 0.014 mg-N/L, or 1 uM. Larger differences between SUNA and laboratory NO3 concentration data are assumed to arise from 1) actual spatial heterogeneity in environmental NO3 concentrations between water entering the flow through system and that captured in the sample bottle; 2) interferences of turbidity and dissolved organic matter using the UV absorption method for </w:t>
      </w:r>
      <w:r w:rsidRPr="007204FB">
        <w:rPr>
          <w:sz w:val="24"/>
          <w:szCs w:val="24"/>
        </w:rPr>
        <w:lastRenderedPageBreak/>
        <w:t xml:space="preserve">nitrate; or 3) errors in sample handling and laboratory analysis. Excepting these potential sources of error, the field and laboratory NO3 measurements are typically well correlated with a linear fit. For the simple linear regressions, the laboratory NO3 concentration data was the explanatory variable to compute the response variable of the SUNA NO3 concentration. Please refer to the “Data Corrections and Offsets” </w:t>
      </w:r>
      <w:bookmarkStart w:id="16" w:name="_Hlk175226300"/>
      <w:r w:rsidR="005D052C" w:rsidRPr="007204FB">
        <w:rPr>
          <w:sz w:val="24"/>
          <w:szCs w:val="24"/>
        </w:rPr>
        <w:t xml:space="preserve">tab of the data dictionary (Delta Mapping 2022 Data Dictionary.xlsx) </w:t>
      </w:r>
      <w:r w:rsidRPr="007204FB">
        <w:rPr>
          <w:sz w:val="24"/>
          <w:szCs w:val="24"/>
        </w:rPr>
        <w:t xml:space="preserve">for </w:t>
      </w:r>
      <w:bookmarkEnd w:id="16"/>
      <w:r w:rsidRPr="007204FB">
        <w:rPr>
          <w:sz w:val="24"/>
          <w:szCs w:val="24"/>
        </w:rPr>
        <w:t xml:space="preserve">individual regression equations and R2 values. </w:t>
      </w:r>
    </w:p>
    <w:p w14:paraId="56897A23" w14:textId="64C26010" w:rsidR="007A22FA" w:rsidRPr="007204FB" w:rsidRDefault="007A22FA" w:rsidP="007204FB">
      <w:pPr>
        <w:rPr>
          <w:sz w:val="24"/>
          <w:szCs w:val="24"/>
        </w:rPr>
      </w:pPr>
      <w:r w:rsidRPr="007204FB">
        <w:rPr>
          <w:sz w:val="24"/>
          <w:szCs w:val="24"/>
        </w:rPr>
        <w:t>Timberline continuous NH4 data was processed by first correcting the voltage output of the instrument for baseline drift based on the instrument response during periodic measurements of organic-free deionized water and then using a regression model of the voltage response to a standard concentration. A regression coefficient of &gt;0.97 R</w:t>
      </w:r>
      <w:r w:rsidR="00502487" w:rsidRPr="007204FB">
        <w:rPr>
          <w:sz w:val="24"/>
          <w:szCs w:val="24"/>
        </w:rPr>
        <w:t>2</w:t>
      </w:r>
      <w:r w:rsidRPr="007204FB">
        <w:rPr>
          <w:sz w:val="24"/>
          <w:szCs w:val="24"/>
        </w:rPr>
        <w:t xml:space="preserve"> or better was judged to be acceptable. Additional data processing steps include the removal of “bad data” caused by operator error or aberrations due to electrical interference or bubbles</w:t>
      </w:r>
      <w:r w:rsidR="00293AF1" w:rsidRPr="007204FB">
        <w:rPr>
          <w:sz w:val="24"/>
          <w:szCs w:val="24"/>
        </w:rPr>
        <w:t xml:space="preserve"> (Richardson and others, 2023</w:t>
      </w:r>
      <w:r w:rsidR="00071C1A" w:rsidRPr="007204FB">
        <w:rPr>
          <w:sz w:val="24"/>
          <w:szCs w:val="24"/>
        </w:rPr>
        <w:t>b</w:t>
      </w:r>
      <w:r w:rsidR="00293AF1" w:rsidRPr="007204FB">
        <w:rPr>
          <w:sz w:val="24"/>
          <w:szCs w:val="24"/>
        </w:rPr>
        <w:t>)</w:t>
      </w:r>
      <w:r w:rsidRPr="007204FB">
        <w:rPr>
          <w:sz w:val="24"/>
          <w:szCs w:val="24"/>
        </w:rPr>
        <w:t>.</w:t>
      </w:r>
    </w:p>
    <w:p w14:paraId="4507CAE3" w14:textId="77777777" w:rsidR="0096609E" w:rsidRPr="007204FB" w:rsidRDefault="0096609E" w:rsidP="007204FB">
      <w:pPr>
        <w:rPr>
          <w:sz w:val="24"/>
          <w:szCs w:val="24"/>
        </w:rPr>
      </w:pPr>
      <w:r w:rsidRPr="007204FB">
        <w:rPr>
          <w:sz w:val="24"/>
          <w:szCs w:val="24"/>
        </w:rPr>
        <w:t xml:space="preserve">Picarro data was corrected to discrete sample data by calculating the mean difference of paired discrete samples with Picarro data and adjusting all Picarro data by this value. Final </w:t>
      </w:r>
      <w:r w:rsidRPr="007204FB">
        <w:rPr>
          <w:color w:val="000000" w:themeColor="text1"/>
          <w:sz w:val="24"/>
          <w:szCs w:val="24"/>
        </w:rPr>
        <w:t>water stable isotope values (delta deuterium and delta oxygen-18) were expressed relative to the Vienna Standard Mean Ocean Water (VSMOW) standard in units of per mil.</w:t>
      </w:r>
    </w:p>
    <w:p w14:paraId="68F8B8CC" w14:textId="4D6B176E" w:rsidR="007A22FA" w:rsidRPr="007204FB" w:rsidRDefault="007A22FA" w:rsidP="007204FB">
      <w:pPr>
        <w:rPr>
          <w:sz w:val="24"/>
          <w:szCs w:val="24"/>
        </w:rPr>
      </w:pPr>
      <w:bookmarkStart w:id="17" w:name="_Hlk132890737"/>
      <w:r w:rsidRPr="007204FB">
        <w:rPr>
          <w:sz w:val="24"/>
          <w:szCs w:val="24"/>
        </w:rPr>
        <w:t>All data, except that collected by the Timberline and Picarro</w:t>
      </w:r>
      <w:r w:rsidR="006C5B30" w:rsidRPr="007204FB">
        <w:rPr>
          <w:sz w:val="24"/>
          <w:szCs w:val="24"/>
        </w:rPr>
        <w:t xml:space="preserve"> analyzers</w:t>
      </w:r>
      <w:r w:rsidRPr="007204FB">
        <w:rPr>
          <w:sz w:val="24"/>
          <w:szCs w:val="24"/>
        </w:rPr>
        <w:t>, were processed using the pandas software library (0.220</w:t>
      </w:r>
      <w:bookmarkStart w:id="18" w:name="_Hlk132889489"/>
      <w:r w:rsidRPr="007204FB">
        <w:rPr>
          <w:sz w:val="24"/>
          <w:szCs w:val="24"/>
        </w:rPr>
        <w:t>; McKinney, 2010</w:t>
      </w:r>
      <w:bookmarkEnd w:id="18"/>
      <w:r w:rsidRPr="007204FB">
        <w:rPr>
          <w:sz w:val="24"/>
          <w:szCs w:val="24"/>
        </w:rPr>
        <w:t>) in Python (3.7.3</w:t>
      </w:r>
      <w:bookmarkStart w:id="19" w:name="_Hlk132889512"/>
      <w:r w:rsidRPr="007204FB">
        <w:rPr>
          <w:sz w:val="24"/>
          <w:szCs w:val="24"/>
        </w:rPr>
        <w:t>; Van Rossum and Drake, 2009</w:t>
      </w:r>
      <w:bookmarkEnd w:id="19"/>
      <w:r w:rsidRPr="007204FB">
        <w:rPr>
          <w:sz w:val="24"/>
          <w:szCs w:val="24"/>
        </w:rPr>
        <w:t xml:space="preserve">) to remove periods of compromised data (e.g. flow blockages, bubbles), to apply instrument corrections and unit conversions, and to apply a centered 20 second median filter to the time series. Data from onboard continuous instruments not directly logged to the flow-through data collection system (e.g., the Timberline ammonium analyzer and the Picarro water stable isotope analyzer) were merged based on timestamp to the nearest second after estimating the differential travel times between flow paths. These time lags accounted for the additional time it took for filtered sample water to reach the instruments and the time to travel through the instruments to the detectors and for the response to be reported by the software. The time differential arises from lag introduced by filtering and specifics of instrument operation that determine the time it takes for environmental sample water to reach the instrument’s detector and for a response to be recorded.  </w:t>
      </w:r>
    </w:p>
    <w:p w14:paraId="61785FB0" w14:textId="394B203B" w:rsidR="0096609E" w:rsidRPr="007204FB" w:rsidRDefault="0096609E" w:rsidP="007204FB">
      <w:pPr>
        <w:rPr>
          <w:rFonts w:cstheme="minorHAnsi"/>
          <w:sz w:val="24"/>
          <w:szCs w:val="24"/>
        </w:rPr>
      </w:pPr>
      <w:r w:rsidRPr="007204FB">
        <w:rPr>
          <w:sz w:val="24"/>
          <w:szCs w:val="24"/>
        </w:rPr>
        <w:t xml:space="preserve">Dissolved inorganic nitrogen (DIN) concentration was calculated as the sum of NO3, NO2 and NH4 for the continuous data and for the discrete sample data. Laboratory DON concentration was calculated by subtracting NH4, NO3, and NO2 data from the TDN data (i.e. DON = TDN – DIN). Continuous DOC and DON </w:t>
      </w:r>
      <w:bookmarkStart w:id="20" w:name="_Hlk148625874"/>
      <w:r w:rsidRPr="007204FB">
        <w:rPr>
          <w:sz w:val="24"/>
          <w:szCs w:val="24"/>
        </w:rPr>
        <w:t xml:space="preserve">concentrations were developed by regressing onboard fDOM data against laboratory determined DOC and DON concentrations measured in discrete </w:t>
      </w:r>
      <w:r w:rsidRPr="007204FB">
        <w:rPr>
          <w:rFonts w:cstheme="minorHAnsi"/>
          <w:sz w:val="24"/>
          <w:szCs w:val="24"/>
        </w:rPr>
        <w:t xml:space="preserve">samples, according to modified methods of Snyder </w:t>
      </w:r>
      <w:bookmarkEnd w:id="20"/>
      <w:r w:rsidRPr="007204FB">
        <w:rPr>
          <w:rFonts w:cstheme="minorHAnsi"/>
          <w:sz w:val="24"/>
          <w:szCs w:val="24"/>
        </w:rPr>
        <w:t xml:space="preserve">and others (2018). These data are reported as estDOC and estDON. Please refer to the “Data Corrections and Offsets” </w:t>
      </w:r>
      <w:r w:rsidR="00502487" w:rsidRPr="007204FB">
        <w:rPr>
          <w:rFonts w:cstheme="minorHAnsi"/>
          <w:sz w:val="24"/>
          <w:szCs w:val="24"/>
        </w:rPr>
        <w:t>tab of the data dictionary</w:t>
      </w:r>
      <w:r w:rsidRPr="007204FB">
        <w:rPr>
          <w:rFonts w:cstheme="minorHAnsi"/>
          <w:sz w:val="24"/>
          <w:szCs w:val="24"/>
        </w:rPr>
        <w:t xml:space="preserve"> </w:t>
      </w:r>
      <w:bookmarkStart w:id="21" w:name="_Hlk175226668"/>
      <w:r w:rsidR="006A4C6D" w:rsidRPr="007204FB">
        <w:rPr>
          <w:rFonts w:cstheme="minorHAnsi"/>
          <w:sz w:val="24"/>
          <w:szCs w:val="24"/>
        </w:rPr>
        <w:t xml:space="preserve">(Delta Mapping 2022 Data Dictionary.xlsx) </w:t>
      </w:r>
      <w:bookmarkEnd w:id="21"/>
      <w:r w:rsidRPr="007204FB">
        <w:rPr>
          <w:rFonts w:cstheme="minorHAnsi"/>
          <w:sz w:val="24"/>
          <w:szCs w:val="24"/>
        </w:rPr>
        <w:t xml:space="preserve">for individual regression equations and R2 </w:t>
      </w:r>
      <w:r w:rsidRPr="007204FB">
        <w:rPr>
          <w:rFonts w:cstheme="minorHAnsi"/>
          <w:sz w:val="24"/>
          <w:szCs w:val="24"/>
        </w:rPr>
        <w:lastRenderedPageBreak/>
        <w:t xml:space="preserve">values. Data exceeding 3 times the standard deviation of the residuals was judged to be an outlier and not included in the model. </w:t>
      </w:r>
      <w:bookmarkStart w:id="22" w:name="_Hlk152323541"/>
      <w:r w:rsidR="00502487" w:rsidRPr="007204FB">
        <w:rPr>
          <w:rFonts w:cstheme="minorHAnsi"/>
          <w:sz w:val="24"/>
          <w:szCs w:val="24"/>
        </w:rPr>
        <w:t xml:space="preserve">estTDN was calculated as the sum of estDIN and estDON. </w:t>
      </w:r>
      <w:bookmarkEnd w:id="22"/>
    </w:p>
    <w:bookmarkEnd w:id="15"/>
    <w:bookmarkEnd w:id="17"/>
    <w:p w14:paraId="6CD19DDF" w14:textId="3A86BB33" w:rsidR="00395C1A" w:rsidRPr="007204FB" w:rsidRDefault="00395C1A" w:rsidP="007204FB">
      <w:pPr>
        <w:rPr>
          <w:rFonts w:cstheme="minorHAnsi"/>
          <w:sz w:val="24"/>
          <w:szCs w:val="24"/>
        </w:rPr>
      </w:pPr>
      <w:r w:rsidRPr="007204FB">
        <w:rPr>
          <w:rFonts w:cstheme="minorHAnsi"/>
          <w:sz w:val="24"/>
          <w:szCs w:val="24"/>
        </w:rPr>
        <w:t xml:space="preserve">Laboratory reported data for discrete samples </w:t>
      </w:r>
      <w:r w:rsidR="000E0F9F" w:rsidRPr="007204FB">
        <w:rPr>
          <w:rFonts w:cstheme="minorHAnsi"/>
          <w:sz w:val="24"/>
          <w:szCs w:val="24"/>
        </w:rPr>
        <w:t xml:space="preserve">(DS) </w:t>
      </w:r>
      <w:r w:rsidRPr="007204FB">
        <w:rPr>
          <w:rFonts w:cstheme="minorHAnsi"/>
          <w:sz w:val="24"/>
          <w:szCs w:val="24"/>
        </w:rPr>
        <w:t>from the National Water Quality Information System (NWIS; USGS, 2022) are included for convenience in a discrete data file</w:t>
      </w:r>
      <w:r w:rsidR="007C293A" w:rsidRPr="007204FB">
        <w:rPr>
          <w:rFonts w:cstheme="minorHAnsi"/>
          <w:sz w:val="24"/>
          <w:szCs w:val="24"/>
        </w:rPr>
        <w:t xml:space="preserve"> </w:t>
      </w:r>
      <w:bookmarkStart w:id="23" w:name="_Hlk175226830"/>
      <w:r w:rsidR="007C293A" w:rsidRPr="007204FB">
        <w:rPr>
          <w:rFonts w:cstheme="minorHAnsi"/>
          <w:sz w:val="24"/>
          <w:szCs w:val="24"/>
        </w:rPr>
        <w:t>(DeltaMapping_2022_DS.txt)</w:t>
      </w:r>
      <w:r w:rsidRPr="007204FB">
        <w:rPr>
          <w:rFonts w:cstheme="minorHAnsi"/>
          <w:sz w:val="24"/>
          <w:szCs w:val="24"/>
        </w:rPr>
        <w:t xml:space="preserve">. </w:t>
      </w:r>
      <w:bookmarkEnd w:id="23"/>
      <w:r w:rsidRPr="007204FB">
        <w:rPr>
          <w:rFonts w:cstheme="minorHAnsi"/>
          <w:sz w:val="24"/>
          <w:szCs w:val="24"/>
        </w:rPr>
        <w:t xml:space="preserve">Accompanying laboratory reported data are NWIS qualifier and remark codes as they appear in NWIS (U.S. Geological Survey, 2011a, 2011b). For discrete nutrient sample concentrations, in addition to reporting nutrient parameters as they appear in NWIS (e.g., mg-N/L or mg-P/L), we also reported those same parameters converted to uM units. For laboratory reported values that are reported below the method lowest detection limit (LDL), half of the LDL is reported in the associated uM column (Clarke, 1998), and those data were used to bias correct the SUNA NO3 data (Pellerin and others, 2013) and to generate the spatially aligned </w:t>
      </w:r>
      <w:r w:rsidR="000E0F9F" w:rsidRPr="007204FB">
        <w:rPr>
          <w:rFonts w:cstheme="minorHAnsi"/>
          <w:sz w:val="24"/>
          <w:szCs w:val="24"/>
        </w:rPr>
        <w:t xml:space="preserve">(SA) </w:t>
      </w:r>
      <w:r w:rsidRPr="007204FB">
        <w:rPr>
          <w:rFonts w:cstheme="minorHAnsi"/>
          <w:sz w:val="24"/>
          <w:szCs w:val="24"/>
        </w:rPr>
        <w:t>datasets</w:t>
      </w:r>
      <w:r w:rsidR="000E0F9F" w:rsidRPr="007204FB">
        <w:rPr>
          <w:rFonts w:cstheme="minorHAnsi"/>
          <w:sz w:val="24"/>
          <w:szCs w:val="24"/>
        </w:rPr>
        <w:t xml:space="preserve"> </w:t>
      </w:r>
      <w:bookmarkStart w:id="24" w:name="_Hlk175226994"/>
      <w:r w:rsidR="000E0F9F" w:rsidRPr="007204FB">
        <w:rPr>
          <w:rFonts w:cstheme="minorHAnsi"/>
          <w:sz w:val="24"/>
          <w:szCs w:val="24"/>
        </w:rPr>
        <w:t>(DeltaMapping_July2022_SA.txt, DeltaMapping_May2022_SA.txt, and DeltaMapping_October2022_SA.txt)</w:t>
      </w:r>
      <w:r w:rsidRPr="007204FB">
        <w:rPr>
          <w:rFonts w:cstheme="minorHAnsi"/>
          <w:sz w:val="24"/>
          <w:szCs w:val="24"/>
        </w:rPr>
        <w:t xml:space="preserve">. </w:t>
      </w:r>
      <w:bookmarkEnd w:id="24"/>
      <w:r w:rsidRPr="007204FB">
        <w:rPr>
          <w:rFonts w:cstheme="minorHAnsi"/>
          <w:sz w:val="24"/>
          <w:szCs w:val="24"/>
        </w:rPr>
        <w:t xml:space="preserve">Table </w:t>
      </w:r>
      <w:r w:rsidR="00502487" w:rsidRPr="007204FB">
        <w:rPr>
          <w:rFonts w:cstheme="minorHAnsi"/>
          <w:sz w:val="24"/>
          <w:szCs w:val="24"/>
        </w:rPr>
        <w:t>1</w:t>
      </w:r>
      <w:r w:rsidRPr="007204FB">
        <w:rPr>
          <w:rFonts w:cstheme="minorHAnsi"/>
          <w:sz w:val="24"/>
          <w:szCs w:val="24"/>
        </w:rPr>
        <w:t xml:space="preserve"> summarizes mg/L to uM conversion factors and 1/2 the LDL values (Clarke, 1998). </w:t>
      </w:r>
    </w:p>
    <w:p w14:paraId="083411C2" w14:textId="3B0FEBB0" w:rsidR="00093D2E" w:rsidRPr="00F72071" w:rsidRDefault="00093D2E" w:rsidP="00C644D2">
      <w:pPr>
        <w:spacing w:line="22" w:lineRule="atLeast"/>
        <w:ind w:right="53"/>
      </w:pPr>
      <w:r w:rsidRPr="00F72071">
        <w:t xml:space="preserve">Table </w:t>
      </w:r>
      <w:r w:rsidR="00754EE9">
        <w:t>1</w:t>
      </w:r>
      <w:r w:rsidRPr="00F72071">
        <w:t xml:space="preserve">. Summary of conversions factors used to calculate micromolar nutrient concentrations, NWQL method lowest detection limit (LDL), and ½ LDLs used for bias correction and model calculations. </w:t>
      </w:r>
    </w:p>
    <w:p w14:paraId="5099E577" w14:textId="77777777" w:rsidR="00093D2E" w:rsidRPr="00F72071" w:rsidRDefault="00093D2E" w:rsidP="00C644D2">
      <w:pPr>
        <w:spacing w:line="22" w:lineRule="atLeast"/>
        <w:ind w:left="-5" w:right="53"/>
      </w:pPr>
    </w:p>
    <w:tbl>
      <w:tblPr>
        <w:tblStyle w:val="PlainTable2"/>
        <w:tblW w:w="5980" w:type="dxa"/>
        <w:jc w:val="center"/>
        <w:tblLook w:val="04A0" w:firstRow="1" w:lastRow="0" w:firstColumn="1" w:lastColumn="0" w:noHBand="0" w:noVBand="1"/>
      </w:tblPr>
      <w:tblGrid>
        <w:gridCol w:w="1184"/>
        <w:gridCol w:w="1240"/>
        <w:gridCol w:w="1300"/>
        <w:gridCol w:w="1060"/>
        <w:gridCol w:w="1380"/>
      </w:tblGrid>
      <w:tr w:rsidR="00093D2E" w:rsidRPr="00F72071" w14:paraId="3E6EE66C" w14:textId="77777777" w:rsidTr="002175B7">
        <w:trPr>
          <w:cnfStyle w:val="100000000000" w:firstRow="1" w:lastRow="0" w:firstColumn="0" w:lastColumn="0" w:oddVBand="0" w:evenVBand="0" w:oddHBand="0"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080" w:type="dxa"/>
            <w:hideMark/>
          </w:tcPr>
          <w:p w14:paraId="3B04E397" w14:textId="77777777" w:rsidR="00093D2E" w:rsidRPr="00F72071" w:rsidRDefault="00093D2E" w:rsidP="00C644D2">
            <w:pPr>
              <w:spacing w:line="22" w:lineRule="atLeast"/>
              <w:jc w:val="center"/>
              <w:rPr>
                <w:rFonts w:eastAsia="Times New Roman"/>
              </w:rPr>
            </w:pPr>
            <w:r w:rsidRPr="00F72071">
              <w:rPr>
                <w:rFonts w:eastAsia="Times New Roman"/>
              </w:rPr>
              <w:t>Parameter</w:t>
            </w:r>
          </w:p>
        </w:tc>
        <w:tc>
          <w:tcPr>
            <w:tcW w:w="1160" w:type="dxa"/>
            <w:hideMark/>
          </w:tcPr>
          <w:p w14:paraId="459BFE22" w14:textId="77777777" w:rsidR="00093D2E" w:rsidRPr="00F72071" w:rsidRDefault="00093D2E" w:rsidP="00C644D2">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Conversion factor</w:t>
            </w:r>
          </w:p>
        </w:tc>
        <w:tc>
          <w:tcPr>
            <w:tcW w:w="1300" w:type="dxa"/>
            <w:hideMark/>
          </w:tcPr>
          <w:p w14:paraId="0C7135DF" w14:textId="77777777" w:rsidR="00093D2E" w:rsidRPr="00F72071" w:rsidRDefault="00093D2E" w:rsidP="00C644D2">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LDL (mg-/L)</w:t>
            </w:r>
          </w:p>
        </w:tc>
        <w:tc>
          <w:tcPr>
            <w:tcW w:w="1060" w:type="dxa"/>
            <w:hideMark/>
          </w:tcPr>
          <w:p w14:paraId="6E2C657B" w14:textId="78388BC5" w:rsidR="00093D2E" w:rsidRPr="00F72071" w:rsidRDefault="00093D2E" w:rsidP="00C644D2">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LDL (</w:t>
            </w:r>
            <w:r w:rsidR="00502487">
              <w:rPr>
                <w:rFonts w:eastAsia="Times New Roman"/>
              </w:rPr>
              <w:t>u</w:t>
            </w:r>
            <w:r w:rsidRPr="00F72071">
              <w:rPr>
                <w:rFonts w:eastAsia="Times New Roman"/>
              </w:rPr>
              <w:t>M)</w:t>
            </w:r>
          </w:p>
        </w:tc>
        <w:tc>
          <w:tcPr>
            <w:tcW w:w="1380" w:type="dxa"/>
            <w:hideMark/>
          </w:tcPr>
          <w:p w14:paraId="383E05BD" w14:textId="1EF4C70C" w:rsidR="00093D2E" w:rsidRPr="00F72071" w:rsidRDefault="00093D2E" w:rsidP="00C644D2">
            <w:pPr>
              <w:spacing w:line="22" w:lineRule="atLeast"/>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 xml:space="preserve">1/2 LDL </w:t>
            </w:r>
            <w:r w:rsidR="00502487">
              <w:rPr>
                <w:rFonts w:eastAsia="Times New Roman"/>
              </w:rPr>
              <w:t>u</w:t>
            </w:r>
            <w:r w:rsidRPr="00F72071">
              <w:rPr>
                <w:rFonts w:eastAsia="Times New Roman"/>
              </w:rPr>
              <w:t>M</w:t>
            </w:r>
          </w:p>
        </w:tc>
      </w:tr>
      <w:tr w:rsidR="00093D2E" w:rsidRPr="00F72071" w14:paraId="112A9A2D" w14:textId="77777777" w:rsidTr="002175B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F8A9101" w14:textId="77777777" w:rsidR="00093D2E" w:rsidRPr="00F72071" w:rsidRDefault="00093D2E" w:rsidP="00C644D2">
            <w:pPr>
              <w:spacing w:line="22" w:lineRule="atLeast"/>
              <w:jc w:val="center"/>
              <w:rPr>
                <w:rFonts w:eastAsia="Times New Roman"/>
              </w:rPr>
            </w:pPr>
            <w:r w:rsidRPr="00F72071">
              <w:rPr>
                <w:rFonts w:eastAsia="Times New Roman"/>
              </w:rPr>
              <w:t>NO3</w:t>
            </w:r>
          </w:p>
        </w:tc>
        <w:tc>
          <w:tcPr>
            <w:tcW w:w="1160" w:type="dxa"/>
            <w:noWrap/>
            <w:hideMark/>
          </w:tcPr>
          <w:p w14:paraId="41E9B00D"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3D13B0A6"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0.04</w:t>
            </w:r>
          </w:p>
        </w:tc>
        <w:tc>
          <w:tcPr>
            <w:tcW w:w="1060" w:type="dxa"/>
            <w:noWrap/>
            <w:hideMark/>
          </w:tcPr>
          <w:p w14:paraId="376CA68C"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2.86</w:t>
            </w:r>
          </w:p>
        </w:tc>
        <w:tc>
          <w:tcPr>
            <w:tcW w:w="1380" w:type="dxa"/>
            <w:noWrap/>
            <w:hideMark/>
          </w:tcPr>
          <w:p w14:paraId="5E3E2552"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1.428</w:t>
            </w:r>
          </w:p>
        </w:tc>
      </w:tr>
      <w:tr w:rsidR="00093D2E" w:rsidRPr="00F72071" w14:paraId="0965C746" w14:textId="77777777" w:rsidTr="002175B7">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A696C97" w14:textId="77777777" w:rsidR="00093D2E" w:rsidRPr="00F72071" w:rsidRDefault="00093D2E" w:rsidP="00C644D2">
            <w:pPr>
              <w:spacing w:line="22" w:lineRule="atLeast"/>
              <w:jc w:val="center"/>
              <w:rPr>
                <w:rFonts w:eastAsia="Times New Roman"/>
              </w:rPr>
            </w:pPr>
            <w:r w:rsidRPr="00F72071">
              <w:rPr>
                <w:rFonts w:eastAsia="Times New Roman"/>
              </w:rPr>
              <w:t>NH4</w:t>
            </w:r>
          </w:p>
        </w:tc>
        <w:tc>
          <w:tcPr>
            <w:tcW w:w="1160" w:type="dxa"/>
            <w:noWrap/>
            <w:hideMark/>
          </w:tcPr>
          <w:p w14:paraId="2977B832"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70E219BF"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0.01</w:t>
            </w:r>
          </w:p>
        </w:tc>
        <w:tc>
          <w:tcPr>
            <w:tcW w:w="1060" w:type="dxa"/>
            <w:noWrap/>
            <w:hideMark/>
          </w:tcPr>
          <w:p w14:paraId="2D02AE72"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0.71</w:t>
            </w:r>
          </w:p>
        </w:tc>
        <w:tc>
          <w:tcPr>
            <w:tcW w:w="1380" w:type="dxa"/>
            <w:noWrap/>
            <w:hideMark/>
          </w:tcPr>
          <w:p w14:paraId="5AEB2135"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0.36</w:t>
            </w:r>
          </w:p>
        </w:tc>
      </w:tr>
      <w:tr w:rsidR="00093D2E" w:rsidRPr="00F72071" w14:paraId="13EAD0E5" w14:textId="77777777" w:rsidTr="002175B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09A73D1" w14:textId="77777777" w:rsidR="00093D2E" w:rsidRPr="00F72071" w:rsidRDefault="00093D2E" w:rsidP="00C644D2">
            <w:pPr>
              <w:spacing w:line="22" w:lineRule="atLeast"/>
              <w:jc w:val="center"/>
              <w:rPr>
                <w:rFonts w:eastAsia="Times New Roman"/>
              </w:rPr>
            </w:pPr>
            <w:r w:rsidRPr="00F72071">
              <w:rPr>
                <w:rFonts w:eastAsia="Times New Roman"/>
              </w:rPr>
              <w:t>NO2</w:t>
            </w:r>
          </w:p>
        </w:tc>
        <w:tc>
          <w:tcPr>
            <w:tcW w:w="1160" w:type="dxa"/>
            <w:noWrap/>
            <w:hideMark/>
          </w:tcPr>
          <w:p w14:paraId="6059D2EB"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70FD71D6"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0.001</w:t>
            </w:r>
          </w:p>
        </w:tc>
        <w:tc>
          <w:tcPr>
            <w:tcW w:w="1060" w:type="dxa"/>
            <w:noWrap/>
            <w:hideMark/>
          </w:tcPr>
          <w:p w14:paraId="4605113C"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0.071</w:t>
            </w:r>
          </w:p>
        </w:tc>
        <w:tc>
          <w:tcPr>
            <w:tcW w:w="1380" w:type="dxa"/>
            <w:noWrap/>
            <w:hideMark/>
          </w:tcPr>
          <w:p w14:paraId="4B72F341"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0.036</w:t>
            </w:r>
          </w:p>
        </w:tc>
      </w:tr>
      <w:tr w:rsidR="00093D2E" w:rsidRPr="00F72071" w14:paraId="6F19259D" w14:textId="77777777" w:rsidTr="002175B7">
        <w:trPr>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25C9139" w14:textId="77777777" w:rsidR="00093D2E" w:rsidRPr="00F72071" w:rsidRDefault="00093D2E" w:rsidP="00C644D2">
            <w:pPr>
              <w:spacing w:line="22" w:lineRule="atLeast"/>
              <w:jc w:val="center"/>
              <w:rPr>
                <w:rFonts w:eastAsia="Times New Roman"/>
              </w:rPr>
            </w:pPr>
            <w:r w:rsidRPr="00F72071">
              <w:rPr>
                <w:rFonts w:eastAsia="Times New Roman"/>
              </w:rPr>
              <w:t>TDN</w:t>
            </w:r>
          </w:p>
        </w:tc>
        <w:tc>
          <w:tcPr>
            <w:tcW w:w="1160" w:type="dxa"/>
            <w:noWrap/>
            <w:hideMark/>
          </w:tcPr>
          <w:p w14:paraId="243BFBBE"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71.39</w:t>
            </w:r>
          </w:p>
        </w:tc>
        <w:tc>
          <w:tcPr>
            <w:tcW w:w="1300" w:type="dxa"/>
            <w:noWrap/>
            <w:hideMark/>
          </w:tcPr>
          <w:p w14:paraId="2C357F2B"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0.05</w:t>
            </w:r>
          </w:p>
        </w:tc>
        <w:tc>
          <w:tcPr>
            <w:tcW w:w="1060" w:type="dxa"/>
            <w:noWrap/>
            <w:hideMark/>
          </w:tcPr>
          <w:p w14:paraId="1B5C519E"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3.57</w:t>
            </w:r>
          </w:p>
        </w:tc>
        <w:tc>
          <w:tcPr>
            <w:tcW w:w="1380" w:type="dxa"/>
            <w:noWrap/>
            <w:hideMark/>
          </w:tcPr>
          <w:p w14:paraId="3FB3C854" w14:textId="77777777" w:rsidR="00093D2E" w:rsidRPr="00F72071" w:rsidRDefault="00093D2E" w:rsidP="00C644D2">
            <w:pPr>
              <w:spacing w:line="22" w:lineRule="atLeast"/>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0F72071">
              <w:rPr>
                <w:rFonts w:eastAsia="Times New Roman"/>
              </w:rPr>
              <w:t>1.785</w:t>
            </w:r>
          </w:p>
        </w:tc>
      </w:tr>
      <w:tr w:rsidR="00093D2E" w:rsidRPr="00F72071" w14:paraId="34510BD7" w14:textId="77777777" w:rsidTr="002175B7">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2C4F5D7" w14:textId="77777777" w:rsidR="00093D2E" w:rsidRPr="00F72071" w:rsidRDefault="00093D2E" w:rsidP="00C644D2">
            <w:pPr>
              <w:spacing w:line="22" w:lineRule="atLeast"/>
              <w:jc w:val="center"/>
              <w:rPr>
                <w:rFonts w:eastAsia="Times New Roman"/>
              </w:rPr>
            </w:pPr>
            <w:r w:rsidRPr="00F72071">
              <w:rPr>
                <w:rFonts w:eastAsia="Times New Roman"/>
              </w:rPr>
              <w:t>PO4</w:t>
            </w:r>
          </w:p>
        </w:tc>
        <w:tc>
          <w:tcPr>
            <w:tcW w:w="1160" w:type="dxa"/>
            <w:noWrap/>
            <w:hideMark/>
          </w:tcPr>
          <w:p w14:paraId="4918120C"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32.28</w:t>
            </w:r>
          </w:p>
        </w:tc>
        <w:tc>
          <w:tcPr>
            <w:tcW w:w="1300" w:type="dxa"/>
            <w:noWrap/>
            <w:hideMark/>
          </w:tcPr>
          <w:p w14:paraId="3B792123"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0.004</w:t>
            </w:r>
          </w:p>
        </w:tc>
        <w:tc>
          <w:tcPr>
            <w:tcW w:w="1060" w:type="dxa"/>
            <w:noWrap/>
            <w:hideMark/>
          </w:tcPr>
          <w:p w14:paraId="30F92032"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0.13</w:t>
            </w:r>
          </w:p>
        </w:tc>
        <w:tc>
          <w:tcPr>
            <w:tcW w:w="1380" w:type="dxa"/>
            <w:noWrap/>
            <w:hideMark/>
          </w:tcPr>
          <w:p w14:paraId="6054E7E4" w14:textId="77777777" w:rsidR="00093D2E" w:rsidRPr="00F72071" w:rsidRDefault="00093D2E" w:rsidP="00C644D2">
            <w:pPr>
              <w:spacing w:line="22" w:lineRule="atLeast"/>
              <w:jc w:val="center"/>
              <w:cnfStyle w:val="000000100000" w:firstRow="0" w:lastRow="0" w:firstColumn="0" w:lastColumn="0" w:oddVBand="0" w:evenVBand="0" w:oddHBand="1" w:evenHBand="0" w:firstRowFirstColumn="0" w:firstRowLastColumn="0" w:lastRowFirstColumn="0" w:lastRowLastColumn="0"/>
              <w:rPr>
                <w:rFonts w:eastAsia="Times New Roman"/>
              </w:rPr>
            </w:pPr>
            <w:r w:rsidRPr="00F72071">
              <w:rPr>
                <w:rFonts w:eastAsia="Times New Roman"/>
              </w:rPr>
              <w:t>0.065</w:t>
            </w:r>
          </w:p>
        </w:tc>
      </w:tr>
    </w:tbl>
    <w:p w14:paraId="2B8033C5" w14:textId="77777777" w:rsidR="00093D2E" w:rsidRPr="005F1B12" w:rsidRDefault="00093D2E" w:rsidP="00C644D2">
      <w:pPr>
        <w:spacing w:line="22" w:lineRule="atLeast"/>
        <w:rPr>
          <w:rFonts w:cstheme="minorHAnsi"/>
          <w:sz w:val="24"/>
          <w:szCs w:val="24"/>
        </w:rPr>
      </w:pPr>
    </w:p>
    <w:p w14:paraId="6231D2E1" w14:textId="77777777" w:rsidR="005E51CE" w:rsidRPr="00236E30" w:rsidRDefault="005E51CE" w:rsidP="005E51CE">
      <w:pPr>
        <w:pStyle w:val="Heading2"/>
        <w:spacing w:before="0" w:line="22" w:lineRule="atLeast"/>
        <w:ind w:left="-5" w:hanging="10"/>
        <w:rPr>
          <w:rFonts w:ascii="Calibri" w:eastAsia="Calibri" w:hAnsi="Calibri" w:cs="Calibri"/>
          <w:b/>
          <w:bCs/>
          <w:color w:val="000000"/>
          <w:szCs w:val="22"/>
        </w:rPr>
      </w:pPr>
      <w:r w:rsidRPr="00CE565C">
        <w:rPr>
          <w:rFonts w:ascii="Calibri" w:eastAsia="Calibri" w:hAnsi="Calibri" w:cs="Calibri"/>
          <w:b/>
          <w:bCs/>
          <w:color w:val="000000"/>
          <w:szCs w:val="22"/>
        </w:rPr>
        <w:t>Definition of regions and reaches for analysis</w:t>
      </w:r>
      <w:r w:rsidRPr="00CE565C" w:rsidDel="00567AC2">
        <w:rPr>
          <w:rFonts w:ascii="Calibri" w:eastAsia="Calibri" w:hAnsi="Calibri" w:cs="Calibri"/>
          <w:b/>
          <w:bCs/>
          <w:color w:val="000000"/>
          <w:szCs w:val="22"/>
        </w:rPr>
        <w:t xml:space="preserve"> </w:t>
      </w:r>
    </w:p>
    <w:p w14:paraId="4AEC3726" w14:textId="121DE831" w:rsidR="00617551" w:rsidRPr="004D7E15" w:rsidRDefault="005E51CE" w:rsidP="004D7E15">
      <w:pPr>
        <w:rPr>
          <w:sz w:val="24"/>
          <w:szCs w:val="24"/>
        </w:rPr>
      </w:pPr>
      <w:r w:rsidRPr="00236E30">
        <w:rPr>
          <w:sz w:val="24"/>
          <w:szCs w:val="24"/>
        </w:rPr>
        <w:t xml:space="preserve">Aside from evaluating the Delta as a whole, it is useful to divide the survey data into smaller sub-sets for analysis. We chose two main approaches to do this. First, we defined eight </w:t>
      </w:r>
      <w:r w:rsidRPr="00236E30">
        <w:rPr>
          <w:i/>
          <w:iCs/>
          <w:sz w:val="24"/>
          <w:szCs w:val="24"/>
        </w:rPr>
        <w:t>Study Regions</w:t>
      </w:r>
      <w:r w:rsidRPr="00236E30">
        <w:rPr>
          <w:sz w:val="24"/>
          <w:szCs w:val="24"/>
        </w:rPr>
        <w:t xml:space="preserve"> based on hydrodynamically distinct zones identified by Jabusch and others (2016). Broadly speaking, the Delta has three tidal transition zones (north Delta, Mokelumne system, south Delta), two strongly tidally forced tidal lagoons (western and central Delta), two dead-end channel systems (CSC, and Suisun Marsh, an area we define as a complex of tidal and managed wetlands near Ryer Island), and the brackish part of the estuary that connects the Delta to San Francisco Bay (Suisun Bay). The nine regions defined in this study are (1) north </w:t>
      </w:r>
      <w:r w:rsidRPr="00236E30">
        <w:rPr>
          <w:sz w:val="24"/>
          <w:szCs w:val="24"/>
        </w:rPr>
        <w:lastRenderedPageBreak/>
        <w:t>Delta tidal transition zone, (2) Mokelumne tidal transition zone, (3) south Delta tidal transition zone, (4) central Delta tidal transition zone, (5)</w:t>
      </w:r>
      <w:r>
        <w:rPr>
          <w:sz w:val="24"/>
          <w:szCs w:val="24"/>
        </w:rPr>
        <w:t xml:space="preserve"> </w:t>
      </w:r>
      <w:r w:rsidRPr="00236E30">
        <w:rPr>
          <w:sz w:val="24"/>
          <w:szCs w:val="24"/>
        </w:rPr>
        <w:t>San Joaquin tidal transition zone, (6) western Delta tidal transition zone, (7) Cache Slough Complex, (8) Suisun Bay, and (9) Suisun Marsh channel system.</w:t>
      </w:r>
      <w:r>
        <w:rPr>
          <w:sz w:val="24"/>
          <w:szCs w:val="24"/>
        </w:rPr>
        <w:t xml:space="preserve"> </w:t>
      </w:r>
      <w:r w:rsidRPr="00236E30">
        <w:rPr>
          <w:sz w:val="24"/>
          <w:szCs w:val="24"/>
        </w:rPr>
        <w:t>A ‘Transition Zone’ is where transport transitions from being mostly unidirectional, like in rivers, to mostly tidal. These eight regions are similar to regions proposed by Jabusch and others (2016) to evaluate data collection efforts and nutrient status and trends analyses in the Delta; those regions were based on Operational Landscape Units (OLUs) originally developed to represent restoration opportunity areas based on an understanding of ecological function, physical drivers, existing constraints, and elevation gradients, while taking into account hydrologic features, watershed boundaries, and DSM2</w:t>
      </w:r>
      <w:r>
        <w:rPr>
          <w:sz w:val="24"/>
          <w:szCs w:val="24"/>
        </w:rPr>
        <w:t xml:space="preserve"> (Delta Simulation Model II)</w:t>
      </w:r>
      <w:r w:rsidRPr="00236E30">
        <w:rPr>
          <w:sz w:val="24"/>
          <w:szCs w:val="24"/>
        </w:rPr>
        <w:t xml:space="preserve"> modeling requirements (Grenier and Grossinger, 2016). Second, we associated data with the geographic name of each water feature (e.g., Sacramento River, Georgiana Slough, Old River) based on widely recognized naming conventions that were cross referenced with the USGS Geographic Names Information System (GNIS) database (USGS, 202</w:t>
      </w:r>
      <w:r>
        <w:rPr>
          <w:sz w:val="24"/>
          <w:szCs w:val="24"/>
        </w:rPr>
        <w:t>2</w:t>
      </w:r>
      <w:r w:rsidRPr="00236E30">
        <w:rPr>
          <w:sz w:val="24"/>
          <w:szCs w:val="24"/>
        </w:rPr>
        <w:t xml:space="preserve">). </w:t>
      </w:r>
    </w:p>
    <w:p w14:paraId="75D2B6D7" w14:textId="44AD42D5" w:rsidR="00D2466D" w:rsidRPr="00C644D2" w:rsidRDefault="00FB25F2" w:rsidP="004D7E15">
      <w:pPr>
        <w:pStyle w:val="Heading2"/>
        <w:spacing w:before="0" w:line="22" w:lineRule="atLeast"/>
        <w:rPr>
          <w:rFonts w:ascii="Calibri" w:eastAsia="Calibri" w:hAnsi="Calibri" w:cs="Calibri"/>
          <w:b/>
          <w:bCs/>
          <w:color w:val="000000"/>
        </w:rPr>
      </w:pPr>
      <w:r w:rsidRPr="00C644D2">
        <w:rPr>
          <w:rFonts w:ascii="Calibri" w:eastAsia="Calibri" w:hAnsi="Calibri" w:cs="Calibri"/>
          <w:b/>
          <w:bCs/>
          <w:color w:val="000000"/>
        </w:rPr>
        <w:t>Spatial Alignment</w:t>
      </w:r>
      <w:r w:rsidR="003474C3" w:rsidRPr="00C644D2">
        <w:rPr>
          <w:rFonts w:ascii="Calibri" w:eastAsia="Calibri" w:hAnsi="Calibri" w:cs="Calibri"/>
          <w:b/>
          <w:bCs/>
          <w:color w:val="000000"/>
        </w:rPr>
        <w:t xml:space="preserve"> (SA)</w:t>
      </w:r>
    </w:p>
    <w:p w14:paraId="216C090B" w14:textId="1A424739" w:rsidR="00FD471A" w:rsidRPr="007204FB" w:rsidRDefault="00FD471A" w:rsidP="007204FB">
      <w:pPr>
        <w:ind w:hanging="10"/>
        <w:rPr>
          <w:rFonts w:ascii="Calibri" w:eastAsia="Calibri" w:hAnsi="Calibri" w:cs="Calibri"/>
          <w:color w:val="000000"/>
          <w:sz w:val="24"/>
          <w:szCs w:val="24"/>
        </w:rPr>
      </w:pPr>
      <w:r w:rsidRPr="007204FB">
        <w:rPr>
          <w:rFonts w:ascii="Calibri" w:eastAsia="Calibri" w:hAnsi="Calibri" w:cs="Calibri"/>
          <w:color w:val="000000"/>
          <w:sz w:val="24"/>
          <w:szCs w:val="24"/>
        </w:rPr>
        <w:t xml:space="preserve">High-resolution </w:t>
      </w:r>
      <w:r w:rsidR="008B4B17" w:rsidRPr="007204FB">
        <w:rPr>
          <w:rFonts w:ascii="Calibri" w:eastAsia="Calibri" w:hAnsi="Calibri" w:cs="Calibri"/>
          <w:color w:val="000000"/>
          <w:sz w:val="24"/>
          <w:szCs w:val="24"/>
        </w:rPr>
        <w:t xml:space="preserve">(HR) </w:t>
      </w:r>
      <w:r w:rsidRPr="007204FB">
        <w:rPr>
          <w:rFonts w:ascii="Calibri" w:eastAsia="Calibri" w:hAnsi="Calibri" w:cs="Calibri"/>
          <w:color w:val="000000"/>
          <w:sz w:val="24"/>
          <w:szCs w:val="24"/>
        </w:rPr>
        <w:t>data were spatially aligned</w:t>
      </w:r>
      <w:r w:rsidR="008B4B17" w:rsidRPr="007204FB">
        <w:rPr>
          <w:rFonts w:ascii="Calibri" w:eastAsia="Calibri" w:hAnsi="Calibri" w:cs="Calibri"/>
          <w:color w:val="000000"/>
          <w:sz w:val="24"/>
          <w:szCs w:val="24"/>
        </w:rPr>
        <w:t xml:space="preserve"> (SA)</w:t>
      </w:r>
      <w:r w:rsidRPr="007204FB">
        <w:rPr>
          <w:rFonts w:ascii="Calibri" w:eastAsia="Calibri" w:hAnsi="Calibri" w:cs="Calibri"/>
          <w:color w:val="000000"/>
          <w:sz w:val="24"/>
          <w:szCs w:val="24"/>
        </w:rPr>
        <w:t xml:space="preserve"> to </w:t>
      </w:r>
      <w:bookmarkStart w:id="25" w:name="_Hlk175227105"/>
      <w:r w:rsidR="00BB1331" w:rsidRPr="007204FB">
        <w:rPr>
          <w:rFonts w:ascii="Calibri" w:eastAsia="Calibri" w:hAnsi="Calibri" w:cs="Calibri"/>
          <w:color w:val="000000"/>
          <w:sz w:val="24"/>
          <w:szCs w:val="24"/>
        </w:rPr>
        <w:t xml:space="preserve">the North American Datum 1983 [NAD 1983 (2011)] </w:t>
      </w:r>
      <w:bookmarkEnd w:id="25"/>
      <w:r w:rsidRPr="007204FB">
        <w:rPr>
          <w:rFonts w:ascii="Calibri" w:eastAsia="Calibri" w:hAnsi="Calibri" w:cs="Calibri"/>
          <w:color w:val="000000"/>
          <w:sz w:val="24"/>
          <w:szCs w:val="24"/>
        </w:rPr>
        <w:t xml:space="preserve">geographic coordinate system to facilitate comparisons between dates and to minimize the effects of differential data density on the spatial interpolation calculations. The spatial alignment was performed using the GeoPandas software library in python (Jordahl, </w:t>
      </w:r>
      <w:r w:rsidR="00CB3B02" w:rsidRPr="007204FB">
        <w:rPr>
          <w:rFonts w:ascii="Calibri" w:eastAsia="Calibri" w:hAnsi="Calibri" w:cs="Calibri"/>
          <w:color w:val="000000"/>
          <w:sz w:val="24"/>
          <w:szCs w:val="24"/>
        </w:rPr>
        <w:t>2020</w:t>
      </w:r>
      <w:r w:rsidRPr="007204FB">
        <w:rPr>
          <w:rFonts w:ascii="Calibri" w:eastAsia="Calibri" w:hAnsi="Calibri" w:cs="Calibri"/>
          <w:color w:val="000000"/>
          <w:sz w:val="24"/>
          <w:szCs w:val="24"/>
        </w:rPr>
        <w:t>), which assigned median-filtered data points to polygon shapefiles that are spaced at approximately 150 m intervals. Spatially aligned data were then aggregated by polygon shapefile to obtain summary statistics of all median-filtered data within a polygon.</w:t>
      </w:r>
    </w:p>
    <w:p w14:paraId="63A74C44" w14:textId="60F46C91" w:rsidR="00FD471A" w:rsidRPr="007204FB" w:rsidRDefault="00FD471A" w:rsidP="007204FB">
      <w:pPr>
        <w:ind w:hanging="10"/>
        <w:rPr>
          <w:rFonts w:ascii="Calibri" w:eastAsia="Calibri" w:hAnsi="Calibri" w:cs="Calibri"/>
          <w:color w:val="000000"/>
          <w:sz w:val="24"/>
          <w:szCs w:val="24"/>
        </w:rPr>
      </w:pPr>
      <w:r w:rsidRPr="007204FB">
        <w:rPr>
          <w:rFonts w:ascii="Calibri" w:eastAsia="Calibri" w:hAnsi="Calibri" w:cs="Calibri"/>
          <w:color w:val="000000"/>
          <w:sz w:val="24"/>
          <w:szCs w:val="24"/>
        </w:rPr>
        <w:t>Interpolated water quality data were created from the spatially aligned data using ESRI’s ArcGIS Pro Spline with Barriers tool (Terzopoulos and Witkin, 1988). The raster output was smoothed with the Focal Statistics tool, and interpolated values from the raster output were extracted to the spatially aligned points with the Extract Multi Values to Points tool to create continuous spatially aligned data across the mapping domain. Rasters were converted to vector format using the Contour tool, then clipped with the Clip tool using a Sacramento-San Joaquin Delta polygon obtained from the National Hydrography Dataset (U.S. Geological Survey, 201</w:t>
      </w:r>
      <w:r w:rsidR="00A3531C">
        <w:rPr>
          <w:rFonts w:ascii="Calibri" w:eastAsia="Calibri" w:hAnsi="Calibri" w:cs="Calibri"/>
          <w:color w:val="000000"/>
          <w:sz w:val="24"/>
          <w:szCs w:val="24"/>
        </w:rPr>
        <w:t>8</w:t>
      </w:r>
      <w:r w:rsidRPr="007204FB">
        <w:rPr>
          <w:rFonts w:ascii="Calibri" w:eastAsia="Calibri" w:hAnsi="Calibri" w:cs="Calibri"/>
          <w:color w:val="000000"/>
          <w:sz w:val="24"/>
          <w:szCs w:val="24"/>
        </w:rPr>
        <w:t xml:space="preserve">). These data are referred to as spatially aligned (SA) and are associated with a specific sampling day, and water quality parameter. </w:t>
      </w:r>
      <w:bookmarkStart w:id="26" w:name="_Hlk175227171"/>
      <w:r w:rsidRPr="007204FB">
        <w:rPr>
          <w:rFonts w:ascii="Calibri" w:eastAsia="Calibri" w:hAnsi="Calibri" w:cs="Calibri"/>
          <w:color w:val="000000"/>
          <w:sz w:val="24"/>
          <w:szCs w:val="24"/>
        </w:rPr>
        <w:t>Interpolated discrete ammonium and phosphate data are included in the SA dataset, and described below.</w:t>
      </w:r>
    </w:p>
    <w:p w14:paraId="5D863D3A" w14:textId="5DE71F1B" w:rsidR="00FD471A" w:rsidRPr="007204FB" w:rsidRDefault="00FD471A" w:rsidP="007204FB">
      <w:pPr>
        <w:ind w:hanging="10"/>
        <w:rPr>
          <w:rFonts w:ascii="Calibri" w:eastAsia="Calibri" w:hAnsi="Calibri" w:cs="Calibri"/>
          <w:color w:val="000000"/>
          <w:sz w:val="24"/>
          <w:szCs w:val="24"/>
        </w:rPr>
      </w:pPr>
      <w:r w:rsidRPr="007204FB">
        <w:rPr>
          <w:rFonts w:ascii="Calibri" w:eastAsia="Calibri" w:hAnsi="Calibri" w:cs="Calibri"/>
          <w:color w:val="000000"/>
          <w:sz w:val="24"/>
          <w:szCs w:val="24"/>
        </w:rPr>
        <w:t xml:space="preserve">The discrete sample dataset </w:t>
      </w:r>
      <w:r w:rsidR="00E11FDC" w:rsidRPr="007204FB">
        <w:rPr>
          <w:rFonts w:ascii="Calibri" w:eastAsia="Calibri" w:hAnsi="Calibri" w:cs="Calibri"/>
          <w:color w:val="000000"/>
          <w:sz w:val="24"/>
          <w:szCs w:val="24"/>
        </w:rPr>
        <w:t xml:space="preserve">(DeltaMapping_2022_DS.txt) </w:t>
      </w:r>
      <w:r w:rsidRPr="007204FB">
        <w:rPr>
          <w:rFonts w:ascii="Calibri" w:eastAsia="Calibri" w:hAnsi="Calibri" w:cs="Calibri"/>
          <w:color w:val="000000"/>
          <w:sz w:val="24"/>
          <w:szCs w:val="24"/>
        </w:rPr>
        <w:t xml:space="preserve">was filtered to include only timestamp and concentrations of </w:t>
      </w:r>
      <w:r w:rsidR="00565BF3" w:rsidRPr="007204FB">
        <w:rPr>
          <w:rFonts w:ascii="Calibri" w:eastAsia="Calibri" w:hAnsi="Calibri" w:cs="Calibri"/>
          <w:color w:val="000000"/>
          <w:sz w:val="24"/>
          <w:szCs w:val="24"/>
        </w:rPr>
        <w:t>NH4</w:t>
      </w:r>
      <w:r w:rsidRPr="007204FB">
        <w:rPr>
          <w:rFonts w:ascii="Calibri" w:eastAsia="Calibri" w:hAnsi="Calibri" w:cs="Calibri"/>
          <w:color w:val="000000"/>
          <w:sz w:val="24"/>
          <w:szCs w:val="24"/>
        </w:rPr>
        <w:t xml:space="preserve"> and </w:t>
      </w:r>
      <w:r w:rsidR="00565BF3" w:rsidRPr="007204FB">
        <w:rPr>
          <w:rFonts w:ascii="Calibri" w:eastAsia="Calibri" w:hAnsi="Calibri" w:cs="Calibri"/>
          <w:color w:val="000000"/>
          <w:sz w:val="24"/>
          <w:szCs w:val="24"/>
        </w:rPr>
        <w:t>PO4</w:t>
      </w:r>
      <w:r w:rsidRPr="007204FB">
        <w:rPr>
          <w:rFonts w:ascii="Calibri" w:eastAsia="Calibri" w:hAnsi="Calibri" w:cs="Calibri"/>
          <w:color w:val="000000"/>
          <w:sz w:val="24"/>
          <w:szCs w:val="24"/>
        </w:rPr>
        <w:t xml:space="preserve"> in micromoles. Tableau Prep was utilized to append latitude and longitude data from the high-resolution </w:t>
      </w:r>
      <w:r w:rsidR="00B644AA" w:rsidRPr="007204FB">
        <w:rPr>
          <w:rFonts w:ascii="Calibri" w:eastAsia="Calibri" w:hAnsi="Calibri" w:cs="Calibri"/>
          <w:color w:val="000000"/>
          <w:sz w:val="24"/>
          <w:szCs w:val="24"/>
        </w:rPr>
        <w:t xml:space="preserve">(HR) </w:t>
      </w:r>
      <w:r w:rsidRPr="007204FB">
        <w:rPr>
          <w:rFonts w:ascii="Calibri" w:eastAsia="Calibri" w:hAnsi="Calibri" w:cs="Calibri"/>
          <w:color w:val="000000"/>
          <w:sz w:val="24"/>
          <w:szCs w:val="24"/>
        </w:rPr>
        <w:t xml:space="preserve">dataset to the discrete subset file through an inner join based on matching timestamps to the nearest minute. To spatially align the geographical data in the discrete subset, the same method used for the high-resolution dataset was followed. The spatially aligned, discrete data was assigned to a polygon shapefile but was not aggregated by polygon due to each data point being allocated to a single </w:t>
      </w:r>
      <w:r w:rsidRPr="007204FB">
        <w:rPr>
          <w:rFonts w:ascii="Calibri" w:eastAsia="Calibri" w:hAnsi="Calibri" w:cs="Calibri"/>
          <w:color w:val="000000"/>
          <w:sz w:val="24"/>
          <w:szCs w:val="24"/>
        </w:rPr>
        <w:lastRenderedPageBreak/>
        <w:t>location. Spatially aligned data were then aggregated by polygon shapefile to obtain summary statistics of data within a polygon. (Only applies to discrete data spatially aligned using the 1-mile and 5-mile shapefiles.)</w:t>
      </w:r>
      <w:r w:rsidR="00565BF3" w:rsidRPr="007204FB">
        <w:rPr>
          <w:rFonts w:ascii="Calibri" w:eastAsia="Calibri" w:hAnsi="Calibri" w:cs="Calibri"/>
          <w:color w:val="000000"/>
          <w:sz w:val="24"/>
          <w:szCs w:val="24"/>
        </w:rPr>
        <w:t xml:space="preserve"> For months where NH4 data was interpolated from discrete sample data, estDIN and estTDN were calculated using interpolated NO3 and NH4 data, rather than continuous data as described above.</w:t>
      </w:r>
      <w:bookmarkEnd w:id="26"/>
    </w:p>
    <w:p w14:paraId="7830DCE6" w14:textId="77777777" w:rsidR="00FD471A" w:rsidRPr="00FD471A" w:rsidRDefault="00FD471A" w:rsidP="004D7E15">
      <w:pPr>
        <w:spacing w:after="1" w:line="249" w:lineRule="auto"/>
        <w:ind w:right="53"/>
        <w:rPr>
          <w:rFonts w:ascii="Calibri" w:eastAsia="Calibri" w:hAnsi="Calibri" w:cs="Calibri"/>
          <w:color w:val="000000"/>
          <w:sz w:val="24"/>
        </w:rPr>
      </w:pPr>
    </w:p>
    <w:p w14:paraId="59BC6E95" w14:textId="5F0059FA" w:rsidR="00F13ADA" w:rsidRPr="00D91900" w:rsidRDefault="0028130B" w:rsidP="00C644D2">
      <w:pPr>
        <w:pStyle w:val="Heading1"/>
        <w:spacing w:before="0" w:line="22" w:lineRule="atLeast"/>
        <w:ind w:left="-5" w:hanging="10"/>
        <w:rPr>
          <w:rFonts w:ascii="Calibri" w:eastAsia="Calibri" w:hAnsi="Calibri" w:cs="Calibri"/>
          <w:b/>
          <w:bCs/>
          <w:color w:val="000000"/>
          <w:szCs w:val="22"/>
        </w:rPr>
      </w:pPr>
      <w:r w:rsidRPr="00D91900">
        <w:rPr>
          <w:rFonts w:ascii="Calibri" w:eastAsia="Calibri" w:hAnsi="Calibri" w:cs="Calibri"/>
          <w:b/>
          <w:bCs/>
          <w:color w:val="000000"/>
          <w:szCs w:val="22"/>
        </w:rPr>
        <w:t>References</w:t>
      </w:r>
    </w:p>
    <w:p w14:paraId="7EC7DB78" w14:textId="6C27E84C" w:rsidR="003C67D1" w:rsidRPr="00D91900" w:rsidRDefault="003C67D1" w:rsidP="003C67D1">
      <w:pPr>
        <w:pBdr>
          <w:top w:val="nil"/>
          <w:left w:val="nil"/>
          <w:bottom w:val="nil"/>
          <w:right w:val="nil"/>
          <w:between w:val="nil"/>
        </w:pBdr>
        <w:spacing w:after="0" w:line="22" w:lineRule="atLeast"/>
        <w:ind w:left="360" w:hanging="360"/>
        <w:rPr>
          <w:rFonts w:eastAsia="Calibri" w:cstheme="minorHAnsi"/>
          <w:sz w:val="24"/>
          <w:szCs w:val="24"/>
        </w:rPr>
      </w:pPr>
      <w:bookmarkStart w:id="27" w:name="_Hlk61259745"/>
      <w:r w:rsidRPr="00D91900">
        <w:rPr>
          <w:rFonts w:eastAsia="Calibri" w:cstheme="minorHAnsi"/>
          <w:sz w:val="24"/>
          <w:szCs w:val="24"/>
        </w:rPr>
        <w:t>American Public Health Association (AP</w:t>
      </w:r>
      <w:r w:rsidR="003E6E23" w:rsidRPr="00D91900">
        <w:rPr>
          <w:rFonts w:eastAsia="Calibri" w:cstheme="minorHAnsi"/>
          <w:sz w:val="24"/>
          <w:szCs w:val="24"/>
        </w:rPr>
        <w:t>H</w:t>
      </w:r>
      <w:r w:rsidRPr="00D91900">
        <w:rPr>
          <w:rFonts w:eastAsia="Calibri" w:cstheme="minorHAnsi"/>
          <w:sz w:val="24"/>
          <w:szCs w:val="24"/>
        </w:rPr>
        <w:t>A), American Water Works Association, Water Environment Federation, Lipps W.C., Braun-Howland E.B., Baxter T.E., eds., 2023, Standard Methods for the Examination of Water and Wastewater, 24th ed, Washington DC: APHA Press.</w:t>
      </w:r>
    </w:p>
    <w:p w14:paraId="2AE8A92F" w14:textId="77777777" w:rsidR="00805673" w:rsidRPr="00D91900" w:rsidRDefault="00805673"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Arar, E.J. and Collins, G.B., 1997, Method 445.0: In vitro determination of chlorophyll a and pheophytin a in marine and freshwater algae by fluorescence: Washington, D.C., U. S. Environmental Protection Agency, Office of Research and Development, National Exposure Research Laboratory. [Also available at </w:t>
      </w:r>
      <w:r w:rsidRPr="00D91900">
        <w:rPr>
          <w:rFonts w:eastAsia="Calibri" w:cstheme="minorHAnsi"/>
          <w:color w:val="0000FF"/>
          <w:sz w:val="24"/>
          <w:szCs w:val="24"/>
        </w:rPr>
        <w:t>https://cfpub.epa.gov/si/si_public_record_report.cfm?Lab=NERL&amp;dirEntryId=309417</w:t>
      </w:r>
      <w:r w:rsidRPr="00D91900">
        <w:rPr>
          <w:rFonts w:eastAsia="Calibri" w:cstheme="minorHAnsi"/>
          <w:sz w:val="24"/>
          <w:szCs w:val="24"/>
        </w:rPr>
        <w:t>.]</w:t>
      </w:r>
    </w:p>
    <w:p w14:paraId="26110AF9" w14:textId="615974D5" w:rsidR="00471C82" w:rsidRPr="00D91900" w:rsidRDefault="00471C8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ASTM Standard D7781-</w:t>
      </w:r>
      <w:r w:rsidR="00E9478B">
        <w:rPr>
          <w:rFonts w:eastAsia="Calibri" w:cstheme="minorHAnsi"/>
          <w:sz w:val="24"/>
          <w:szCs w:val="24"/>
        </w:rPr>
        <w:t>14</w:t>
      </w:r>
      <w:r w:rsidRPr="00D91900">
        <w:rPr>
          <w:rFonts w:eastAsia="Calibri" w:cstheme="minorHAnsi"/>
          <w:sz w:val="24"/>
          <w:szCs w:val="24"/>
        </w:rPr>
        <w:t xml:space="preserve">, </w:t>
      </w:r>
      <w:r w:rsidR="00CB3B02">
        <w:rPr>
          <w:rFonts w:eastAsia="Calibri" w:cstheme="minorHAnsi"/>
          <w:sz w:val="24"/>
          <w:szCs w:val="24"/>
        </w:rPr>
        <w:t>20</w:t>
      </w:r>
      <w:r w:rsidR="00E9478B">
        <w:rPr>
          <w:rFonts w:eastAsia="Calibri" w:cstheme="minorHAnsi"/>
          <w:sz w:val="24"/>
          <w:szCs w:val="24"/>
        </w:rPr>
        <w:t>14</w:t>
      </w:r>
      <w:r w:rsidRPr="00D91900">
        <w:rPr>
          <w:rFonts w:eastAsia="Calibri" w:cstheme="minorHAnsi"/>
          <w:sz w:val="24"/>
          <w:szCs w:val="24"/>
        </w:rPr>
        <w:t>, “Standard Test Method for Nitrite-Nitrate in Water by Nitrate Reductase,” ASTM International, West Conshohocken, PA</w:t>
      </w:r>
      <w:r w:rsidR="00E9478B">
        <w:rPr>
          <w:rFonts w:eastAsia="Calibri" w:cstheme="minorHAnsi"/>
          <w:sz w:val="24"/>
          <w:szCs w:val="24"/>
        </w:rPr>
        <w:t xml:space="preserve">, </w:t>
      </w:r>
      <w:r w:rsidR="00E9478B" w:rsidRPr="00E9478B">
        <w:rPr>
          <w:rFonts w:eastAsia="Calibri" w:cstheme="minorHAnsi"/>
          <w:sz w:val="24"/>
          <w:szCs w:val="24"/>
        </w:rPr>
        <w:t xml:space="preserve">accessed </w:t>
      </w:r>
      <w:r w:rsidR="00E9478B">
        <w:rPr>
          <w:rFonts w:eastAsia="Calibri" w:cstheme="minorHAnsi"/>
          <w:sz w:val="24"/>
          <w:szCs w:val="24"/>
        </w:rPr>
        <w:t>December 15</w:t>
      </w:r>
      <w:r w:rsidR="00E9478B" w:rsidRPr="00E9478B">
        <w:rPr>
          <w:rFonts w:eastAsia="Calibri" w:cstheme="minorHAnsi"/>
          <w:sz w:val="24"/>
          <w:szCs w:val="24"/>
        </w:rPr>
        <w:t>, 20</w:t>
      </w:r>
      <w:r w:rsidR="00E9478B">
        <w:rPr>
          <w:rFonts w:eastAsia="Calibri" w:cstheme="minorHAnsi"/>
          <w:sz w:val="24"/>
          <w:szCs w:val="24"/>
        </w:rPr>
        <w:t>22</w:t>
      </w:r>
    </w:p>
    <w:p w14:paraId="6D92ADC7" w14:textId="5FD6F3B1" w:rsidR="00BB1163" w:rsidRPr="00D91900" w:rsidRDefault="00BB1163" w:rsidP="00BB1163">
      <w:pPr>
        <w:spacing w:line="22" w:lineRule="atLeast"/>
        <w:ind w:left="360" w:hanging="360"/>
        <w:contextualSpacing/>
        <w:rPr>
          <w:sz w:val="24"/>
          <w:szCs w:val="24"/>
        </w:rPr>
      </w:pPr>
      <w:bookmarkStart w:id="28" w:name="_Hlk61259775"/>
      <w:bookmarkEnd w:id="27"/>
      <w:r w:rsidRPr="00D91900">
        <w:rPr>
          <w:sz w:val="24"/>
          <w:szCs w:val="24"/>
        </w:rPr>
        <w:t xml:space="preserve">Beutler, M., Wiltshire, K., Meyer, B., Moldaenke, C., Lüring, C., Meyerhöfer, M., &amp; Dau, H., 2002, A fluorometric method for the differentiation of algal populations in vivo and in situ: Photosynthesis Research, v. 72, p. 39-53,  </w:t>
      </w:r>
      <w:hyperlink r:id="rId11" w:history="1">
        <w:r w:rsidRPr="00D91900">
          <w:rPr>
            <w:rStyle w:val="Hyperlink"/>
            <w:sz w:val="24"/>
            <w:szCs w:val="24"/>
            <w:u w:val="none"/>
          </w:rPr>
          <w:t>https://doi.org/10.1023/A:1016026607048</w:t>
        </w:r>
      </w:hyperlink>
      <w:r w:rsidRPr="00D91900">
        <w:rPr>
          <w:sz w:val="24"/>
          <w:szCs w:val="24"/>
        </w:rPr>
        <w:t>.</w:t>
      </w:r>
    </w:p>
    <w:p w14:paraId="37D3C4C2" w14:textId="076427C1" w:rsidR="009900D2" w:rsidRPr="00D91900" w:rsidRDefault="009900D2" w:rsidP="009900D2">
      <w:pPr>
        <w:spacing w:line="22" w:lineRule="atLeast"/>
        <w:ind w:left="360" w:hanging="360"/>
        <w:contextualSpacing/>
        <w:rPr>
          <w:sz w:val="24"/>
          <w:szCs w:val="24"/>
        </w:rPr>
      </w:pPr>
      <w:bookmarkStart w:id="29" w:name="_Hlk145082690"/>
      <w:r w:rsidRPr="00D91900">
        <w:rPr>
          <w:sz w:val="24"/>
          <w:szCs w:val="24"/>
        </w:rPr>
        <w:t xml:space="preserve">Burkholder, J.B. and Wetzel, R.G., 1989, Microbial colonization on natural and artificial macrophytes in a phosphorus-limited, Hardwater Lake: Journal of Phycology, v. 25, p. 55-65, </w:t>
      </w:r>
      <w:hyperlink r:id="rId12" w:history="1">
        <w:r w:rsidRPr="00D91900">
          <w:rPr>
            <w:rStyle w:val="Hyperlink"/>
            <w:sz w:val="24"/>
            <w:szCs w:val="24"/>
            <w:u w:val="none"/>
          </w:rPr>
          <w:t>https://doi.org/10.1111/j.0022-3646.1989.00055.x</w:t>
        </w:r>
      </w:hyperlink>
      <w:r w:rsidRPr="00D91900">
        <w:rPr>
          <w:sz w:val="24"/>
          <w:szCs w:val="24"/>
        </w:rPr>
        <w:t>.</w:t>
      </w:r>
      <w:bookmarkEnd w:id="29"/>
    </w:p>
    <w:bookmarkEnd w:id="28"/>
    <w:p w14:paraId="25F09484" w14:textId="77777777" w:rsidR="00805673" w:rsidRPr="00D91900" w:rsidRDefault="00805673"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Carlson, R. M., 1978, Automated separation and conductimetric determination of ammonia and dissolved carbon dioxide: Analytical Chemistry, v. 50, p. 1528-1531, </w:t>
      </w:r>
      <w:hyperlink r:id="rId13" w:tooltip="DOI URL" w:history="1">
        <w:r w:rsidRPr="00D91900">
          <w:rPr>
            <w:rFonts w:eastAsia="Calibri" w:cstheme="minorHAnsi"/>
            <w:color w:val="0000FF"/>
            <w:sz w:val="24"/>
            <w:szCs w:val="24"/>
          </w:rPr>
          <w:t>https://doi.org/10.1021/ac50033a035</w:t>
        </w:r>
      </w:hyperlink>
      <w:r w:rsidRPr="00D91900">
        <w:rPr>
          <w:rFonts w:eastAsia="Calibri" w:cstheme="minorHAnsi"/>
          <w:sz w:val="24"/>
          <w:szCs w:val="24"/>
        </w:rPr>
        <w:t>.</w:t>
      </w:r>
    </w:p>
    <w:p w14:paraId="4739D1E1" w14:textId="78A64A3D" w:rsidR="005A33FF" w:rsidRPr="00D91900" w:rsidRDefault="005A33FF" w:rsidP="00C644D2">
      <w:pPr>
        <w:pBdr>
          <w:top w:val="nil"/>
          <w:left w:val="nil"/>
          <w:bottom w:val="nil"/>
          <w:right w:val="nil"/>
          <w:between w:val="nil"/>
        </w:pBdr>
        <w:spacing w:after="0" w:line="22" w:lineRule="atLeast"/>
        <w:ind w:left="360" w:hanging="360"/>
        <w:rPr>
          <w:rFonts w:eastAsia="Calibri" w:cstheme="minorHAnsi"/>
          <w:sz w:val="24"/>
          <w:szCs w:val="24"/>
        </w:rPr>
      </w:pPr>
      <w:bookmarkStart w:id="30" w:name="_Hlk110936863"/>
      <w:r w:rsidRPr="00D91900">
        <w:rPr>
          <w:rFonts w:eastAsia="Calibri" w:cstheme="minorHAnsi"/>
          <w:sz w:val="24"/>
          <w:szCs w:val="24"/>
        </w:rPr>
        <w:t xml:space="preserve">Clarke, J.U., 1998, Evaluation of censored data methods to allow statistical comparisons among very small samples with below detection limit observations: Environmental Science &amp; Technology, v. 32, no. 1, p. 177-183, </w:t>
      </w:r>
      <w:hyperlink r:id="rId14" w:history="1">
        <w:r w:rsidRPr="00D91900">
          <w:rPr>
            <w:rFonts w:eastAsia="Calibri" w:cstheme="minorHAnsi"/>
            <w:color w:val="0000FF"/>
            <w:sz w:val="24"/>
            <w:szCs w:val="24"/>
          </w:rPr>
          <w:t>https://pubs.acs.org/doi/10.1021/es970521v</w:t>
        </w:r>
      </w:hyperlink>
      <w:r w:rsidRPr="00D91900">
        <w:rPr>
          <w:rFonts w:eastAsia="Calibri" w:cstheme="minorHAnsi"/>
          <w:sz w:val="24"/>
          <w:szCs w:val="24"/>
        </w:rPr>
        <w:t>.</w:t>
      </w:r>
      <w:bookmarkEnd w:id="30"/>
    </w:p>
    <w:p w14:paraId="58E9FF35" w14:textId="77777777" w:rsidR="00805673" w:rsidRPr="00D91900" w:rsidRDefault="00805673"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Downing, B.D., Bergamaschi, B.A., Kendall, C., Kraus, T.E.C., Dennis, K.J., Carter, J.A. and Von Dessonneck, T.S., 2016, Using continuous underway isotope measurements to map water residence time in hydrodynamically complex tidal environments: Environmental Science &amp; Technology, v. 50, no. 24, p. 13387-13396, </w:t>
      </w:r>
      <w:hyperlink r:id="rId15" w:history="1">
        <w:r w:rsidRPr="00D91900">
          <w:rPr>
            <w:rFonts w:eastAsia="Calibri" w:cstheme="minorHAnsi"/>
            <w:color w:val="0000FF"/>
            <w:sz w:val="24"/>
            <w:szCs w:val="24"/>
          </w:rPr>
          <w:t>https://doi.org/10.1021/acs.est.6b05745</w:t>
        </w:r>
      </w:hyperlink>
      <w:r w:rsidRPr="00D91900">
        <w:rPr>
          <w:rFonts w:eastAsia="Calibri" w:cstheme="minorHAnsi"/>
          <w:sz w:val="24"/>
          <w:szCs w:val="24"/>
        </w:rPr>
        <w:t>.</w:t>
      </w:r>
    </w:p>
    <w:p w14:paraId="49988857" w14:textId="76A029E0" w:rsidR="001A0067" w:rsidRPr="00D91900" w:rsidRDefault="001A0067" w:rsidP="001A0067">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Eijkelkamp, 2014. FluoroProbe User Manual. V. E2, accessed March 15, 2017, at: </w:t>
      </w:r>
      <w:hyperlink r:id="rId16" w:history="1">
        <w:r w:rsidRPr="00D91900">
          <w:rPr>
            <w:rStyle w:val="Hyperlink"/>
            <w:rFonts w:eastAsia="Calibri" w:cstheme="minorHAnsi"/>
            <w:sz w:val="24"/>
            <w:szCs w:val="24"/>
            <w:u w:val="none"/>
          </w:rPr>
          <w:t>https://en.eijkelkamp.com/products/sensors-monitoring_uk/fluoroprobe-iii-with-accessories.html</w:t>
        </w:r>
      </w:hyperlink>
      <w:r w:rsidRPr="00D91900">
        <w:rPr>
          <w:rFonts w:eastAsia="Calibri" w:cstheme="minorHAnsi"/>
          <w:sz w:val="24"/>
          <w:szCs w:val="24"/>
        </w:rPr>
        <w:t>.</w:t>
      </w:r>
    </w:p>
    <w:p w14:paraId="6434148C" w14:textId="77777777" w:rsidR="00451885" w:rsidRPr="00D91900" w:rsidRDefault="00451885"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Fichot, C.G., Downing, B.D., Bergamaschi, B.A., Windham-Myers, L., Marvin-DiPasquale, M., </w:t>
      </w:r>
    </w:p>
    <w:p w14:paraId="3768B000" w14:textId="5FCC52B0" w:rsidR="00451885" w:rsidRPr="00D91900" w:rsidRDefault="00451885" w:rsidP="00C644D2">
      <w:pPr>
        <w:pBdr>
          <w:top w:val="nil"/>
          <w:left w:val="nil"/>
          <w:bottom w:val="nil"/>
          <w:right w:val="nil"/>
          <w:between w:val="nil"/>
        </w:pBdr>
        <w:spacing w:after="0" w:line="22" w:lineRule="atLeast"/>
        <w:ind w:left="360"/>
        <w:rPr>
          <w:rFonts w:eastAsia="Calibri" w:cstheme="minorHAnsi"/>
          <w:sz w:val="24"/>
          <w:szCs w:val="24"/>
        </w:rPr>
      </w:pPr>
      <w:r w:rsidRPr="00D91900">
        <w:rPr>
          <w:rFonts w:eastAsia="Calibri" w:cstheme="minorHAnsi"/>
          <w:sz w:val="24"/>
          <w:szCs w:val="24"/>
        </w:rPr>
        <w:t xml:space="preserve">Thompson, D.R. and Gierach, M.M., 2016. High-resolution remote sensing of water quality in the San Francisco Bay–Delta Estuary: Environmental Science &amp; Technology, v. 50, no. 2, p .573-583, </w:t>
      </w:r>
      <w:hyperlink r:id="rId17" w:history="1">
        <w:r w:rsidRPr="00D91900">
          <w:rPr>
            <w:rFonts w:eastAsia="Calibri" w:cstheme="minorHAnsi"/>
            <w:color w:val="0000FF"/>
            <w:sz w:val="24"/>
            <w:szCs w:val="24"/>
          </w:rPr>
          <w:t>https://doi.org/10.1021/acs.est.5b03518</w:t>
        </w:r>
      </w:hyperlink>
      <w:r w:rsidRPr="00D91900">
        <w:rPr>
          <w:rFonts w:eastAsia="Calibri" w:cstheme="minorHAnsi"/>
          <w:sz w:val="24"/>
          <w:szCs w:val="24"/>
        </w:rPr>
        <w:t>.</w:t>
      </w:r>
    </w:p>
    <w:p w14:paraId="50AC93AF" w14:textId="52B92DA9" w:rsidR="00F13ADA" w:rsidRPr="00D91900" w:rsidRDefault="00F13ADA" w:rsidP="00C644D2">
      <w:pPr>
        <w:spacing w:line="22" w:lineRule="atLeast"/>
        <w:ind w:left="360" w:hanging="360"/>
        <w:contextualSpacing/>
        <w:rPr>
          <w:sz w:val="24"/>
          <w:szCs w:val="24"/>
        </w:rPr>
      </w:pPr>
      <w:r w:rsidRPr="00D91900">
        <w:rPr>
          <w:sz w:val="24"/>
          <w:szCs w:val="24"/>
        </w:rPr>
        <w:lastRenderedPageBreak/>
        <w:t>Grenier, L., Grossinger, R.</w:t>
      </w:r>
      <w:r w:rsidR="00862754" w:rsidRPr="00D91900">
        <w:rPr>
          <w:sz w:val="24"/>
          <w:szCs w:val="24"/>
        </w:rPr>
        <w:t xml:space="preserve">, </w:t>
      </w:r>
      <w:r w:rsidRPr="00D91900">
        <w:rPr>
          <w:sz w:val="24"/>
          <w:szCs w:val="24"/>
        </w:rPr>
        <w:t>2016</w:t>
      </w:r>
      <w:r w:rsidR="00862754" w:rsidRPr="00D91900">
        <w:rPr>
          <w:sz w:val="24"/>
          <w:szCs w:val="24"/>
        </w:rPr>
        <w:t>,</w:t>
      </w:r>
      <w:r w:rsidRPr="00D91900">
        <w:rPr>
          <w:sz w:val="24"/>
          <w:szCs w:val="24"/>
        </w:rPr>
        <w:t xml:space="preserve"> Tools for landscape-scale restoration planning in the Delta. Presentation to the Delta Independent Science Board, January 16, 2013, 2nd Floor Conference Center, Sacramento, CA.</w:t>
      </w:r>
    </w:p>
    <w:p w14:paraId="73183225" w14:textId="77777777" w:rsidR="009331B0" w:rsidRPr="00D91900" w:rsidRDefault="009331B0" w:rsidP="009331B0">
      <w:pPr>
        <w:pBdr>
          <w:top w:val="nil"/>
          <w:left w:val="nil"/>
          <w:bottom w:val="nil"/>
          <w:right w:val="nil"/>
          <w:between w:val="nil"/>
        </w:pBdr>
        <w:spacing w:after="0" w:line="22" w:lineRule="atLeast"/>
        <w:ind w:left="360" w:hanging="360"/>
        <w:rPr>
          <w:rFonts w:eastAsia="Calibri" w:cstheme="minorHAnsi"/>
          <w:sz w:val="24"/>
          <w:szCs w:val="24"/>
        </w:rPr>
      </w:pPr>
      <w:bookmarkStart w:id="31" w:name="_Hlk145344381"/>
      <w:r w:rsidRPr="00D91900">
        <w:rPr>
          <w:rFonts w:eastAsia="Calibri" w:cstheme="minorHAnsi"/>
          <w:sz w:val="24"/>
          <w:szCs w:val="24"/>
        </w:rPr>
        <w:t xml:space="preserve">Hansen, A.M., Kraus, T.E.C., Pellerin, B. A., Fleck, J. A., Downing, B. D., Bergamaschi, B. A., 2016, Optical properties of dissolved organic Matter (DOM): effects of biological and photolytic degradation: Limnology and Oceanography, v. 61, p. 1015-1032, </w:t>
      </w:r>
      <w:hyperlink r:id="rId18" w:history="1">
        <w:r w:rsidRPr="00D91900">
          <w:rPr>
            <w:rStyle w:val="Hyperlink"/>
            <w:rFonts w:eastAsia="Calibri" w:cstheme="minorHAnsi"/>
            <w:sz w:val="24"/>
            <w:szCs w:val="24"/>
            <w:u w:val="none"/>
          </w:rPr>
          <w:t>https://doi.org/10.1002/lno.10270</w:t>
        </w:r>
      </w:hyperlink>
      <w:r w:rsidRPr="00D91900">
        <w:rPr>
          <w:rFonts w:eastAsia="Calibri" w:cstheme="minorHAnsi"/>
          <w:sz w:val="24"/>
          <w:szCs w:val="24"/>
        </w:rPr>
        <w:t>.</w:t>
      </w:r>
    </w:p>
    <w:p w14:paraId="0248B80C" w14:textId="77777777" w:rsidR="009331B0" w:rsidRPr="00D91900" w:rsidRDefault="009331B0" w:rsidP="009331B0">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Hansen, A. M., Fleck, J. A., Kraus, T. E. C., Downing, B. D., Von Dessonneck, T., Bergamaschi, B. A., 2018, Procedures for using the Horiba Scientific Aqualog® fluorometer to measure absorbance and fluorescence from dissolved organic matter: U. S. Geological Survey Open-File Report 2018-1096, 31 p., </w:t>
      </w:r>
      <w:hyperlink r:id="rId19" w:history="1">
        <w:r w:rsidRPr="00D91900">
          <w:rPr>
            <w:rStyle w:val="Hyperlink"/>
            <w:rFonts w:eastAsia="Calibri" w:cstheme="minorHAnsi"/>
            <w:sz w:val="24"/>
            <w:szCs w:val="24"/>
            <w:u w:val="none"/>
          </w:rPr>
          <w:t>https://doi.org/10.3133/ofr20181096</w:t>
        </w:r>
      </w:hyperlink>
      <w:r w:rsidRPr="00D91900">
        <w:rPr>
          <w:rFonts w:eastAsia="Calibri" w:cstheme="minorHAnsi"/>
          <w:sz w:val="24"/>
          <w:szCs w:val="24"/>
        </w:rPr>
        <w:t>.</w:t>
      </w:r>
    </w:p>
    <w:p w14:paraId="6F48B761" w14:textId="66670E79" w:rsidR="009900D2" w:rsidRPr="00D91900" w:rsidRDefault="009900D2" w:rsidP="009900D2">
      <w:pPr>
        <w:pBdr>
          <w:top w:val="nil"/>
          <w:left w:val="nil"/>
          <w:bottom w:val="nil"/>
          <w:right w:val="nil"/>
          <w:between w:val="nil"/>
        </w:pBdr>
        <w:spacing w:after="0" w:line="22" w:lineRule="atLeast"/>
        <w:ind w:left="360" w:hanging="360"/>
        <w:rPr>
          <w:rFonts w:eastAsia="Calibri" w:cstheme="minorHAnsi"/>
          <w:sz w:val="24"/>
          <w:szCs w:val="24"/>
        </w:rPr>
      </w:pPr>
      <w:bookmarkStart w:id="32" w:name="_Hlk145082644"/>
      <w:r w:rsidRPr="00D91900">
        <w:rPr>
          <w:rFonts w:eastAsia="Calibri" w:cstheme="minorHAnsi"/>
          <w:sz w:val="24"/>
          <w:szCs w:val="24"/>
        </w:rPr>
        <w:t xml:space="preserve">Hillebrand, H., Dürselen, C., Kirschtel, D., Pollingher, U., and Zohary, T., 1999, Biovolume calculation for pelagic and benthic microalgae: Journal of Phycology v. 35, p. 403-424, </w:t>
      </w:r>
      <w:hyperlink r:id="rId20" w:history="1">
        <w:r w:rsidRPr="00D91900">
          <w:rPr>
            <w:rStyle w:val="Hyperlink"/>
            <w:rFonts w:eastAsia="Calibri" w:cstheme="minorHAnsi"/>
            <w:sz w:val="24"/>
            <w:szCs w:val="24"/>
            <w:u w:val="none"/>
          </w:rPr>
          <w:t>https://doi.org/10.1046/j.1529-8817.1999.3520403.x</w:t>
        </w:r>
      </w:hyperlink>
      <w:r w:rsidRPr="00D91900">
        <w:rPr>
          <w:rFonts w:eastAsia="Calibri" w:cstheme="minorHAnsi"/>
          <w:sz w:val="24"/>
          <w:szCs w:val="24"/>
        </w:rPr>
        <w:t>.</w:t>
      </w:r>
      <w:bookmarkEnd w:id="32"/>
    </w:p>
    <w:bookmarkEnd w:id="31"/>
    <w:p w14:paraId="6CBD58AC" w14:textId="4C0BE64D" w:rsidR="00E857E7" w:rsidRPr="00D91900" w:rsidRDefault="00E857E7"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Jabusch, T., Bresnahan, P., Trowbridge, P., Novick, E., Wong, A., Salomon, M. and Senn, D., 2016, Summary and evaluation of Delta subregions for nutrient monitoring and assessment: Richmond, Calif. San Francisco Estuary Institute</w:t>
      </w:r>
      <w:r w:rsidR="006A6AB8">
        <w:rPr>
          <w:rFonts w:eastAsia="Calibri" w:cstheme="minorHAnsi"/>
          <w:sz w:val="24"/>
          <w:szCs w:val="24"/>
        </w:rPr>
        <w:t xml:space="preserve"> – Aquatic Science Center</w:t>
      </w:r>
      <w:r w:rsidRPr="00D91900">
        <w:rPr>
          <w:rFonts w:eastAsia="Calibri" w:cstheme="minorHAnsi"/>
          <w:sz w:val="24"/>
          <w:szCs w:val="24"/>
        </w:rPr>
        <w:t xml:space="preserve">, Contribution No. 789, </w:t>
      </w:r>
      <w:hyperlink r:id="rId21" w:history="1">
        <w:r w:rsidRPr="00D91900">
          <w:rPr>
            <w:rFonts w:eastAsia="Calibri" w:cstheme="minorHAnsi"/>
            <w:color w:val="0000FF"/>
            <w:sz w:val="24"/>
            <w:szCs w:val="24"/>
          </w:rPr>
          <w:t>https://www.sfei.org/documents/delta-subregions</w:t>
        </w:r>
      </w:hyperlink>
      <w:r w:rsidRPr="00D91900">
        <w:rPr>
          <w:rFonts w:eastAsia="Calibri" w:cstheme="minorHAnsi"/>
          <w:sz w:val="24"/>
          <w:szCs w:val="24"/>
        </w:rPr>
        <w:t>.</w:t>
      </w:r>
    </w:p>
    <w:p w14:paraId="4CAAB53B" w14:textId="250A6189" w:rsidR="003E6E23" w:rsidRPr="00D91900" w:rsidRDefault="003E6E23" w:rsidP="003E6E23">
      <w:pPr>
        <w:pBdr>
          <w:top w:val="nil"/>
          <w:left w:val="nil"/>
          <w:bottom w:val="nil"/>
          <w:right w:val="nil"/>
          <w:between w:val="nil"/>
        </w:pBdr>
        <w:spacing w:after="0" w:line="22" w:lineRule="atLeast"/>
        <w:ind w:left="360" w:hanging="360"/>
        <w:rPr>
          <w:rFonts w:eastAsia="Calibri" w:cstheme="minorHAnsi"/>
          <w:sz w:val="24"/>
          <w:szCs w:val="24"/>
        </w:rPr>
      </w:pPr>
      <w:bookmarkStart w:id="33" w:name="_Hlk175231957"/>
      <w:r w:rsidRPr="00D91900">
        <w:rPr>
          <w:rFonts w:eastAsia="Calibri" w:cstheme="minorHAnsi"/>
          <w:sz w:val="24"/>
          <w:szCs w:val="24"/>
        </w:rPr>
        <w:t>Jordahl, K., 20</w:t>
      </w:r>
      <w:r w:rsidR="00CB3B02">
        <w:rPr>
          <w:rFonts w:eastAsia="Calibri" w:cstheme="minorHAnsi"/>
          <w:sz w:val="24"/>
          <w:szCs w:val="24"/>
        </w:rPr>
        <w:t>20</w:t>
      </w:r>
      <w:r w:rsidRPr="00D91900">
        <w:rPr>
          <w:rFonts w:eastAsia="Calibri" w:cstheme="minorHAnsi"/>
          <w:sz w:val="24"/>
          <w:szCs w:val="24"/>
        </w:rPr>
        <w:t xml:space="preserve">, GeoPandas: Python tools for geographic data, accessed </w:t>
      </w:r>
      <w:bookmarkStart w:id="34" w:name="_Hlk103956650"/>
      <w:r w:rsidRPr="00D91900">
        <w:rPr>
          <w:rFonts w:eastAsia="Calibri" w:cstheme="minorHAnsi"/>
          <w:sz w:val="24"/>
          <w:szCs w:val="24"/>
        </w:rPr>
        <w:t>December 2, 2020</w:t>
      </w:r>
      <w:bookmarkEnd w:id="34"/>
      <w:r w:rsidRPr="00D91900">
        <w:rPr>
          <w:rFonts w:eastAsia="Calibri" w:cstheme="minorHAnsi"/>
          <w:sz w:val="24"/>
          <w:szCs w:val="24"/>
        </w:rPr>
        <w:t xml:space="preserve">, at </w:t>
      </w:r>
      <w:hyperlink r:id="rId22" w:history="1">
        <w:r w:rsidR="00CB3B02" w:rsidRPr="00CB3B02">
          <w:rPr>
            <w:rStyle w:val="Hyperlink"/>
            <w:rFonts w:eastAsia="Calibri" w:cstheme="minorHAnsi"/>
            <w:sz w:val="24"/>
            <w:szCs w:val="24"/>
            <w:u w:val="none"/>
          </w:rPr>
          <w:t>https://doi.org/10.5281/zenodo.3946761</w:t>
        </w:r>
      </w:hyperlink>
      <w:r w:rsidRPr="00D91900">
        <w:rPr>
          <w:rFonts w:eastAsia="Calibri" w:cstheme="minorHAnsi"/>
          <w:sz w:val="24"/>
          <w:szCs w:val="24"/>
        </w:rPr>
        <w:t>.</w:t>
      </w:r>
    </w:p>
    <w:bookmarkEnd w:id="33"/>
    <w:p w14:paraId="2BB3A052" w14:textId="2D6A1542" w:rsidR="00451885" w:rsidRPr="00D91900" w:rsidRDefault="00451885"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Kimmerer, W., Wilkerson, F., Downing, B., Dugdale, R., Gross, E.S., Kayfetz, K., Khanna, S., Parker, A.E. and Thompson, J., 2019, Effects of drought and the emergency drought barrier on the ecosystem of the California Delta: San Francisco Estuary and Watershed Science, v. 17, no. 3</w:t>
      </w:r>
      <w:r w:rsidR="00CB3B02">
        <w:rPr>
          <w:rFonts w:eastAsia="Calibri" w:cstheme="minorHAnsi"/>
          <w:sz w:val="24"/>
          <w:szCs w:val="24"/>
        </w:rPr>
        <w:t>(2)</w:t>
      </w:r>
      <w:r w:rsidRPr="00D91900">
        <w:rPr>
          <w:rFonts w:eastAsia="Calibri" w:cstheme="minorHAnsi"/>
          <w:sz w:val="24"/>
          <w:szCs w:val="24"/>
        </w:rPr>
        <w:t xml:space="preserve">, </w:t>
      </w:r>
      <w:hyperlink r:id="rId23" w:history="1">
        <w:r w:rsidRPr="00D91900">
          <w:rPr>
            <w:rFonts w:eastAsia="Calibri" w:cstheme="minorHAnsi"/>
            <w:color w:val="0000FF"/>
            <w:sz w:val="24"/>
            <w:szCs w:val="24"/>
          </w:rPr>
          <w:t>https://doi.org/10.15447/sfews.2019v17iss3art2</w:t>
        </w:r>
      </w:hyperlink>
      <w:r w:rsidRPr="00D91900">
        <w:rPr>
          <w:rFonts w:eastAsia="Calibri" w:cstheme="minorHAnsi"/>
          <w:sz w:val="24"/>
          <w:szCs w:val="24"/>
        </w:rPr>
        <w:t>.</w:t>
      </w:r>
    </w:p>
    <w:p w14:paraId="0B8CF127" w14:textId="615C6643" w:rsidR="009900D2" w:rsidRPr="00D91900" w:rsidRDefault="009900D2" w:rsidP="009900D2">
      <w:pPr>
        <w:pBdr>
          <w:top w:val="nil"/>
          <w:left w:val="nil"/>
          <w:bottom w:val="nil"/>
          <w:right w:val="nil"/>
          <w:between w:val="nil"/>
        </w:pBdr>
        <w:spacing w:after="0" w:line="22" w:lineRule="atLeast"/>
        <w:ind w:left="360" w:hanging="360"/>
        <w:rPr>
          <w:rFonts w:eastAsia="Calibri" w:cstheme="minorHAnsi"/>
          <w:sz w:val="24"/>
          <w:szCs w:val="24"/>
        </w:rPr>
      </w:pPr>
      <w:bookmarkStart w:id="35" w:name="_Hlk145344716"/>
      <w:r w:rsidRPr="00D91900">
        <w:rPr>
          <w:rFonts w:eastAsia="Calibri" w:cstheme="minorHAnsi"/>
          <w:sz w:val="24"/>
          <w:szCs w:val="24"/>
        </w:rPr>
        <w:t xml:space="preserve">Lund, J. W. G., Kipling, C., Le Cren, E. D., 1958, The inverted microscope method of estimating algal numbers and the statistical basis of estimations by counting: Hydrobiologia, v. 11, p. 143-170. </w:t>
      </w:r>
      <w:hyperlink r:id="rId24" w:history="1">
        <w:r w:rsidRPr="00D91900">
          <w:rPr>
            <w:rStyle w:val="Hyperlink"/>
            <w:rFonts w:eastAsia="Calibri" w:cstheme="minorHAnsi"/>
            <w:sz w:val="24"/>
            <w:szCs w:val="24"/>
            <w:u w:val="none"/>
          </w:rPr>
          <w:t>https://doi.org/10.1007/BF00007865</w:t>
        </w:r>
      </w:hyperlink>
      <w:r w:rsidRPr="00D91900">
        <w:rPr>
          <w:rFonts w:eastAsia="Calibri" w:cstheme="minorHAnsi"/>
          <w:sz w:val="24"/>
          <w:szCs w:val="24"/>
        </w:rPr>
        <w:t>.</w:t>
      </w:r>
      <w:bookmarkEnd w:id="35"/>
    </w:p>
    <w:p w14:paraId="05BE4F82" w14:textId="01DF50A3" w:rsidR="005F1B12" w:rsidRPr="00D91900" w:rsidRDefault="005F1B1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McKinney, W., 2010, Data structures for statistical computing in python: Proceedings of the 9th Python in Science Conference, v. 445, p. 51–56, </w:t>
      </w:r>
      <w:hyperlink r:id="rId25" w:history="1">
        <w:r w:rsidRPr="00D91900">
          <w:rPr>
            <w:rFonts w:eastAsia="Calibri" w:cstheme="minorHAnsi"/>
            <w:color w:val="0000FF"/>
            <w:sz w:val="24"/>
            <w:szCs w:val="24"/>
          </w:rPr>
          <w:t>https://doi.org/10.25080/Majora-92bf1922-00a</w:t>
        </w:r>
      </w:hyperlink>
      <w:r w:rsidRPr="00D91900">
        <w:rPr>
          <w:rFonts w:eastAsia="Calibri" w:cstheme="minorHAnsi"/>
          <w:sz w:val="24"/>
          <w:szCs w:val="24"/>
        </w:rPr>
        <w:t>.</w:t>
      </w:r>
    </w:p>
    <w:p w14:paraId="16B46C34" w14:textId="321E5A81" w:rsidR="00BB1163" w:rsidRPr="00D91900" w:rsidRDefault="00BB1163" w:rsidP="00BB1163">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McNabb, C. D., 1960, Enumeration of freshwater phytoplankton concentrated on the membrane filter: Limnology and Oceanography, v. 5, p. 57-61, </w:t>
      </w:r>
      <w:hyperlink r:id="rId26" w:history="1">
        <w:r w:rsidRPr="00D91900">
          <w:rPr>
            <w:rStyle w:val="Hyperlink"/>
            <w:rFonts w:eastAsia="Calibri" w:cstheme="minorHAnsi"/>
            <w:sz w:val="24"/>
            <w:szCs w:val="24"/>
            <w:u w:val="none"/>
          </w:rPr>
          <w:t>https://doi.org/10.4319/lo.1960.5.1.0057</w:t>
        </w:r>
      </w:hyperlink>
      <w:r w:rsidRPr="00D91900">
        <w:rPr>
          <w:rFonts w:eastAsia="Calibri" w:cstheme="minorHAnsi"/>
          <w:sz w:val="24"/>
          <w:szCs w:val="24"/>
        </w:rPr>
        <w:t>.</w:t>
      </w:r>
    </w:p>
    <w:p w14:paraId="59AE39D4" w14:textId="77777777" w:rsidR="00E857E7" w:rsidRPr="00D91900" w:rsidRDefault="00E857E7"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Murrell, M.C. and Lores, E.M., 2004, Phytoplankton and zooplankton seasonal dynamics in a subtropical estuary: importance of cyanobacteria: Journal of Plankton Research, v. 26, p. 371-382, </w:t>
      </w:r>
      <w:hyperlink r:id="rId27" w:history="1">
        <w:r w:rsidRPr="00D91900">
          <w:rPr>
            <w:rFonts w:eastAsia="Calibri" w:cstheme="minorHAnsi"/>
            <w:color w:val="0000FF"/>
            <w:sz w:val="24"/>
            <w:szCs w:val="24"/>
          </w:rPr>
          <w:t>https://doi.org/10.1093/plankt/fbh038</w:t>
        </w:r>
      </w:hyperlink>
      <w:r w:rsidRPr="00D91900">
        <w:rPr>
          <w:rFonts w:eastAsia="Calibri" w:cstheme="minorHAnsi"/>
          <w:sz w:val="24"/>
          <w:szCs w:val="24"/>
        </w:rPr>
        <w:t>.</w:t>
      </w:r>
    </w:p>
    <w:p w14:paraId="6FB0FD26" w14:textId="46B132E8" w:rsidR="005F1B12" w:rsidRPr="00D91900" w:rsidRDefault="005F1B1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Pellerin, B.A., Bergamaschi, B.A., Downing, B.D., Saraceno, J.F., Garrett, J.A., and Olsen, L.D., 2013, Optical techniques for the determination of nitrate in environmental waters: guidelines for instrument selection, operation, deployment, maintenance, quality assurance, and data reporting: U.S. Geological Survey Techniques and Methods 1–D5, 37 p., </w:t>
      </w:r>
      <w:hyperlink r:id="rId28" w:history="1">
        <w:r w:rsidRPr="00D91900">
          <w:rPr>
            <w:rFonts w:eastAsia="Calibri" w:cstheme="minorHAnsi"/>
            <w:color w:val="0000FF"/>
            <w:sz w:val="24"/>
            <w:szCs w:val="24"/>
          </w:rPr>
          <w:t>https://doi.org/10.3133/tm1D5</w:t>
        </w:r>
      </w:hyperlink>
      <w:r w:rsidRPr="00D91900">
        <w:rPr>
          <w:rFonts w:eastAsia="Calibri" w:cstheme="minorHAnsi"/>
          <w:sz w:val="24"/>
          <w:szCs w:val="24"/>
        </w:rPr>
        <w:t>.</w:t>
      </w:r>
    </w:p>
    <w:p w14:paraId="45A12133" w14:textId="6079D286" w:rsidR="00805673" w:rsidRPr="00D91900" w:rsidRDefault="00805673" w:rsidP="00C644D2">
      <w:pPr>
        <w:spacing w:line="22" w:lineRule="atLeast"/>
        <w:ind w:left="360" w:hanging="360"/>
        <w:contextualSpacing/>
        <w:rPr>
          <w:rFonts w:cstheme="minorHAnsi"/>
          <w:sz w:val="24"/>
          <w:szCs w:val="24"/>
        </w:rPr>
      </w:pPr>
      <w:r w:rsidRPr="00D91900">
        <w:rPr>
          <w:rFonts w:cstheme="minorHAnsi"/>
          <w:sz w:val="24"/>
          <w:szCs w:val="24"/>
        </w:rPr>
        <w:t xml:space="preserve">Potter, B. and Wimsatt, J., 2012, USEPA method 415.3: quantifying TOC, DOC, and SUVA: Journal American Water Works Association, v. 104, 6, p. E358-E369, </w:t>
      </w:r>
      <w:hyperlink r:id="rId29" w:history="1">
        <w:r w:rsidR="001F1ED1" w:rsidRPr="00D91900">
          <w:rPr>
            <w:rStyle w:val="Hyperlink"/>
            <w:sz w:val="24"/>
            <w:szCs w:val="24"/>
            <w:u w:val="none"/>
          </w:rPr>
          <w:t>https://doi.org/10.5942/jawwa.2012.104.0086</w:t>
        </w:r>
      </w:hyperlink>
      <w:r w:rsidRPr="00D91900">
        <w:rPr>
          <w:rFonts w:cstheme="minorHAnsi"/>
          <w:sz w:val="24"/>
          <w:szCs w:val="24"/>
        </w:rPr>
        <w:t>.</w:t>
      </w:r>
    </w:p>
    <w:p w14:paraId="4DAA5C29" w14:textId="2A208110" w:rsidR="001F1ED1" w:rsidRPr="00D91900" w:rsidRDefault="001F1ED1" w:rsidP="001F1ED1">
      <w:pPr>
        <w:spacing w:line="22" w:lineRule="atLeast"/>
        <w:ind w:left="360" w:hanging="360"/>
        <w:contextualSpacing/>
        <w:rPr>
          <w:sz w:val="24"/>
          <w:szCs w:val="24"/>
        </w:rPr>
      </w:pPr>
      <w:r w:rsidRPr="00D91900">
        <w:rPr>
          <w:sz w:val="24"/>
          <w:szCs w:val="24"/>
        </w:rPr>
        <w:lastRenderedPageBreak/>
        <w:t xml:space="preserve">Revesz, K., and Coplen, T.B., 2008a, Determination of the delta(2H/1H) of Water: RSIL Lab Code 1574: Techniques and Methods 10-C1, accessed at </w:t>
      </w:r>
      <w:r w:rsidRPr="00D91900">
        <w:rPr>
          <w:rFonts w:eastAsia="Calibri" w:cstheme="minorHAnsi"/>
          <w:color w:val="0000FF"/>
          <w:sz w:val="24"/>
          <w:szCs w:val="24"/>
        </w:rPr>
        <w:t>http://pubs.er.usgs.gov/publication/tm10C1</w:t>
      </w:r>
      <w:r w:rsidRPr="00D91900">
        <w:rPr>
          <w:sz w:val="24"/>
          <w:szCs w:val="24"/>
        </w:rPr>
        <w:t>.</w:t>
      </w:r>
    </w:p>
    <w:p w14:paraId="64862EE5" w14:textId="3C04025A" w:rsidR="001F1ED1" w:rsidRPr="00D91900" w:rsidRDefault="001F1ED1" w:rsidP="001F1ED1">
      <w:pPr>
        <w:spacing w:line="22" w:lineRule="atLeast"/>
        <w:ind w:left="360" w:hanging="360"/>
        <w:contextualSpacing/>
        <w:rPr>
          <w:sz w:val="24"/>
          <w:szCs w:val="24"/>
        </w:rPr>
      </w:pPr>
      <w:r w:rsidRPr="00D91900">
        <w:rPr>
          <w:sz w:val="24"/>
          <w:szCs w:val="24"/>
        </w:rPr>
        <w:t xml:space="preserve">Revesz, K., and Coplen, T., 2008b, Determination of the delta(18O/16O) of Water: RSIL Lab Code 489: Techniques and Methods 10-C2, accessed at </w:t>
      </w:r>
      <w:r w:rsidRPr="00D91900">
        <w:rPr>
          <w:rFonts w:eastAsia="Calibri" w:cstheme="minorHAnsi"/>
          <w:color w:val="0000FF"/>
          <w:sz w:val="24"/>
          <w:szCs w:val="24"/>
        </w:rPr>
        <w:t>http://pubs.er.usgs.gov/publication/tm10C2</w:t>
      </w:r>
      <w:r w:rsidRPr="00D91900">
        <w:rPr>
          <w:sz w:val="24"/>
          <w:szCs w:val="24"/>
        </w:rPr>
        <w:t>.</w:t>
      </w:r>
    </w:p>
    <w:p w14:paraId="5709B1BB" w14:textId="77777777" w:rsidR="00361C63" w:rsidRPr="00D91900" w:rsidRDefault="00471C82" w:rsidP="00C644D2">
      <w:pPr>
        <w:spacing w:line="22" w:lineRule="atLeast"/>
        <w:ind w:left="360" w:hanging="360"/>
        <w:contextualSpacing/>
        <w:rPr>
          <w:sz w:val="24"/>
          <w:szCs w:val="24"/>
        </w:rPr>
      </w:pPr>
      <w:r w:rsidRPr="00D91900">
        <w:rPr>
          <w:sz w:val="24"/>
          <w:szCs w:val="24"/>
        </w:rPr>
        <w:t>Rice, E., Baird, R., and Eaton, A., 2017, 4500-NH3 nitrogen (ammonia) G: Standard methods for examination of water and wastewater. American Public Health Association, American Water Works Association, and Water Environment Federation, Washington, DC.</w:t>
      </w:r>
    </w:p>
    <w:p w14:paraId="508C8D5F" w14:textId="354F263E" w:rsidR="00E219B5" w:rsidRPr="00D91900" w:rsidRDefault="00E219B5" w:rsidP="00C644D2">
      <w:pPr>
        <w:spacing w:line="22" w:lineRule="atLeast"/>
        <w:ind w:left="360" w:hanging="360"/>
        <w:contextualSpacing/>
        <w:rPr>
          <w:sz w:val="24"/>
          <w:szCs w:val="24"/>
        </w:rPr>
      </w:pPr>
      <w:r w:rsidRPr="00D91900">
        <w:rPr>
          <w:sz w:val="24"/>
          <w:szCs w:val="24"/>
        </w:rPr>
        <w:t>Richardson, E.T., Bouma-Gregson, K., Kraus, T.E.C., O'Donnell, K., Sturgeon, C.L., Soto Perez, J., Delascagigas, A., Nakatsuka, K.K., Burau, D.J., Gelber, A.D., Von Hoyningen Huene, B.L., Jumps, N.I., and Bergamaschi, B.A., 2023</w:t>
      </w:r>
      <w:r w:rsidR="00B644AA">
        <w:rPr>
          <w:sz w:val="24"/>
          <w:szCs w:val="24"/>
        </w:rPr>
        <w:t>a</w:t>
      </w:r>
      <w:r w:rsidRPr="00D91900">
        <w:rPr>
          <w:sz w:val="24"/>
          <w:szCs w:val="24"/>
        </w:rPr>
        <w:t xml:space="preserve">, Phytoplankton Species Composition and Abundance in the Sacramento-San Joaquin River Delta: Microscopic Enumeration of USGS Samples, beginning in 2016: U.S. Geological Survey data release, </w:t>
      </w:r>
      <w:r w:rsidRPr="00D91900">
        <w:rPr>
          <w:rFonts w:eastAsia="Calibri" w:cstheme="minorHAnsi"/>
          <w:color w:val="0000FF"/>
          <w:sz w:val="24"/>
          <w:szCs w:val="24"/>
        </w:rPr>
        <w:t>https://doi.org/10.5066/P97ZBPLH</w:t>
      </w:r>
      <w:r w:rsidRPr="00D91900">
        <w:rPr>
          <w:sz w:val="24"/>
          <w:szCs w:val="24"/>
        </w:rPr>
        <w:t>.</w:t>
      </w:r>
    </w:p>
    <w:p w14:paraId="2ECAA8A1" w14:textId="4BA5DE54" w:rsidR="00361C63" w:rsidRPr="00D91900" w:rsidRDefault="00361C63" w:rsidP="00361C63">
      <w:pPr>
        <w:spacing w:line="22" w:lineRule="atLeast"/>
        <w:ind w:left="360" w:hanging="360"/>
        <w:contextualSpacing/>
        <w:rPr>
          <w:sz w:val="24"/>
          <w:szCs w:val="24"/>
        </w:rPr>
      </w:pPr>
      <w:r w:rsidRPr="00D91900">
        <w:rPr>
          <w:sz w:val="24"/>
          <w:szCs w:val="24"/>
        </w:rPr>
        <w:t>Richardson, E.T., Hansen, A.M., Kraus, T.E., Downing, B.D., Forsberg, D., Stillian, J., O’Donnell, K., Sturgeon, C.L., and Bergamaschi, B.A., 2023</w:t>
      </w:r>
      <w:r w:rsidR="00B644AA">
        <w:rPr>
          <w:sz w:val="24"/>
          <w:szCs w:val="24"/>
        </w:rPr>
        <w:t>b</w:t>
      </w:r>
      <w:r w:rsidRPr="00D91900">
        <w:rPr>
          <w:sz w:val="24"/>
          <w:szCs w:val="24"/>
        </w:rPr>
        <w:t>, A novel boat‐based field application of a high‐frequency conductometric ammonium analyzer to characterize spatial variation in aquatic ecosystems: Limnology and Oceanography: Method</w:t>
      </w:r>
      <w:r w:rsidR="009C022E" w:rsidRPr="00D91900">
        <w:rPr>
          <w:sz w:val="24"/>
          <w:szCs w:val="24"/>
        </w:rPr>
        <w:t>s</w:t>
      </w:r>
      <w:r w:rsidRPr="00D91900">
        <w:rPr>
          <w:sz w:val="24"/>
          <w:szCs w:val="24"/>
        </w:rPr>
        <w:t xml:space="preserve">, </w:t>
      </w:r>
      <w:r w:rsidRPr="00D91900">
        <w:rPr>
          <w:rFonts w:eastAsia="Calibri" w:cstheme="minorHAnsi"/>
          <w:color w:val="0000FF"/>
          <w:sz w:val="24"/>
          <w:szCs w:val="24"/>
        </w:rPr>
        <w:t>https://doi.org/10.1002/lom3.10579</w:t>
      </w:r>
      <w:r w:rsidRPr="00D91900">
        <w:rPr>
          <w:sz w:val="24"/>
          <w:szCs w:val="24"/>
        </w:rPr>
        <w:t>.</w:t>
      </w:r>
    </w:p>
    <w:p w14:paraId="60F69A1E" w14:textId="3B5F6DF2" w:rsidR="004773AC" w:rsidRPr="00D91900" w:rsidRDefault="004773AC" w:rsidP="00C644D2">
      <w:pPr>
        <w:spacing w:line="22" w:lineRule="atLeast"/>
        <w:ind w:left="360" w:hanging="360"/>
        <w:contextualSpacing/>
        <w:rPr>
          <w:sz w:val="24"/>
          <w:szCs w:val="24"/>
        </w:rPr>
      </w:pPr>
      <w:r w:rsidRPr="00D91900">
        <w:rPr>
          <w:sz w:val="24"/>
          <w:szCs w:val="24"/>
        </w:rPr>
        <w:t>Snyder, L., Potter, J.D. and McDowell, W.H., 2018. An evaluation of nitrate, fDOM, and turbidity sensors in New Hampshire streams. Water Resources Research, 54(3), pp.2466-2479.</w:t>
      </w:r>
    </w:p>
    <w:p w14:paraId="2F9CCB5D" w14:textId="0C7D7303" w:rsidR="00451885" w:rsidRPr="00D91900" w:rsidRDefault="00451885"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Stumpner, E. B., Bergamaschi, B. A., Kraus, T. E. C., Parker, A. E., Wilkerson, F. P., Downing, B. D., Dugdale, R. C. Murrell, M. C., Carpenter, K. D., Orlando, J. L., and Kendall, C., 2020, Spatial variability of phytoplankton in a shallow tidal freshwater system reveals complex controls on abundance and community structure: Science of The Total Environment, v. 700, no. 134392, 17 p., </w:t>
      </w:r>
      <w:hyperlink r:id="rId30" w:history="1">
        <w:r w:rsidRPr="00D91900">
          <w:rPr>
            <w:rFonts w:eastAsia="Calibri" w:cstheme="minorHAnsi"/>
            <w:color w:val="0000FF"/>
            <w:sz w:val="24"/>
            <w:szCs w:val="24"/>
          </w:rPr>
          <w:t>https://doi.org/10.1016/j.scitotenv.2019.134392</w:t>
        </w:r>
      </w:hyperlink>
      <w:r w:rsidRPr="00D91900">
        <w:rPr>
          <w:rFonts w:eastAsia="Calibri" w:cstheme="minorHAnsi"/>
          <w:sz w:val="24"/>
          <w:szCs w:val="24"/>
        </w:rPr>
        <w:t>.</w:t>
      </w:r>
    </w:p>
    <w:p w14:paraId="0D23FC0C" w14:textId="77777777" w:rsidR="00E857E7" w:rsidRPr="00D91900" w:rsidRDefault="00E857E7"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 xml:space="preserve">Terzopoulos, D. and Witkin, A., 1988, Physically based models with rigid and deformable components: IEEE Computer Graphics and Applications, v. 8, no. 6, p. 41-51, </w:t>
      </w:r>
      <w:hyperlink r:id="rId31" w:history="1">
        <w:r w:rsidRPr="00D91900">
          <w:rPr>
            <w:rFonts w:eastAsia="Calibri" w:cstheme="minorHAnsi"/>
            <w:color w:val="0000FF"/>
            <w:sz w:val="24"/>
            <w:szCs w:val="24"/>
          </w:rPr>
          <w:t>https://doi.org/10.1109/38.20317</w:t>
        </w:r>
      </w:hyperlink>
      <w:r w:rsidRPr="00D91900">
        <w:rPr>
          <w:rFonts w:eastAsia="Calibri" w:cstheme="minorHAnsi"/>
          <w:sz w:val="24"/>
          <w:szCs w:val="24"/>
        </w:rPr>
        <w:t>.</w:t>
      </w:r>
    </w:p>
    <w:p w14:paraId="0BAC5E08" w14:textId="691C45B5" w:rsidR="00471C82" w:rsidRPr="00D91900" w:rsidRDefault="00471C8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USEPA, 1993a, Method 353.2. Determination of nitrate‐nitrite nitrogen by automated colorimetry</w:t>
      </w:r>
      <w:r w:rsidR="007A26D8">
        <w:rPr>
          <w:rFonts w:eastAsia="Calibri" w:cstheme="minorHAnsi"/>
          <w:sz w:val="24"/>
          <w:szCs w:val="24"/>
        </w:rPr>
        <w:t xml:space="preserve"> </w:t>
      </w:r>
      <w:r w:rsidR="007A26D8" w:rsidRPr="007A26D8">
        <w:rPr>
          <w:rFonts w:eastAsia="Calibri" w:cstheme="minorHAnsi"/>
          <w:sz w:val="24"/>
          <w:szCs w:val="24"/>
        </w:rPr>
        <w:t>(Report Number EPA/600/R-93/100)</w:t>
      </w:r>
      <w:r w:rsidRPr="00D91900">
        <w:rPr>
          <w:rFonts w:eastAsia="Calibri" w:cstheme="minorHAnsi"/>
          <w:sz w:val="24"/>
          <w:szCs w:val="24"/>
        </w:rPr>
        <w:t>: Environ. Monitoring Systems Lab.</w:t>
      </w:r>
    </w:p>
    <w:p w14:paraId="32A1C306" w14:textId="0D2811D6" w:rsidR="00471C82" w:rsidRPr="00D91900" w:rsidRDefault="00471C8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USEPA, 1993b, Method 365.1: Determination of Phosphorus by Semi-Automated Colorimetry: Methods for chemical analysis of water and wastes.</w:t>
      </w:r>
    </w:p>
    <w:p w14:paraId="7B02C202" w14:textId="7238888C" w:rsidR="005A33FF" w:rsidRPr="00D91900" w:rsidRDefault="005A33FF" w:rsidP="00C644D2">
      <w:pPr>
        <w:spacing w:after="1" w:line="22" w:lineRule="atLeast"/>
        <w:ind w:left="360" w:hanging="360"/>
        <w:rPr>
          <w:rFonts w:ascii="Calibri" w:eastAsia="Calibri" w:hAnsi="Calibri" w:cstheme="minorHAnsi"/>
          <w:sz w:val="24"/>
        </w:rPr>
      </w:pPr>
      <w:r w:rsidRPr="00D91900">
        <w:rPr>
          <w:rFonts w:eastAsia="Calibri" w:cstheme="minorHAnsi"/>
          <w:color w:val="000000"/>
          <w:sz w:val="24"/>
          <w:szCs w:val="24"/>
        </w:rPr>
        <w:t>U.S. Geological Survey, 2011a, Value Qualifier Codes: U.S. Geological Survey National Water Information System</w:t>
      </w:r>
      <w:r w:rsidR="007A26D8">
        <w:rPr>
          <w:rFonts w:eastAsia="Calibri" w:cstheme="minorHAnsi"/>
          <w:color w:val="000000"/>
          <w:sz w:val="24"/>
          <w:szCs w:val="24"/>
        </w:rPr>
        <w:t xml:space="preserve"> </w:t>
      </w:r>
      <w:r w:rsidR="007A26D8" w:rsidRPr="007A26D8">
        <w:rPr>
          <w:rFonts w:eastAsia="Calibri" w:cstheme="minorHAnsi"/>
          <w:color w:val="000000"/>
          <w:sz w:val="24"/>
          <w:szCs w:val="24"/>
        </w:rPr>
        <w:t>(Report Number EPA/600/R-93/100)</w:t>
      </w:r>
      <w:r w:rsidRPr="00D91900">
        <w:rPr>
          <w:rFonts w:eastAsia="Calibri" w:cstheme="minorHAnsi"/>
          <w:color w:val="000000"/>
          <w:sz w:val="24"/>
          <w:szCs w:val="24"/>
        </w:rPr>
        <w:t>: Help</w:t>
      </w:r>
      <w:r w:rsidRPr="00D91900">
        <w:rPr>
          <w:rFonts w:ascii="Calibri" w:eastAsia="Calibri" w:hAnsi="Calibri" w:cs="Calibri"/>
          <w:color w:val="000000"/>
          <w:sz w:val="24"/>
        </w:rPr>
        <w:t xml:space="preserve"> System, </w:t>
      </w:r>
      <w:r w:rsidR="00A3531C" w:rsidRPr="00A3531C">
        <w:rPr>
          <w:rFonts w:ascii="Calibri" w:eastAsia="Calibri" w:hAnsi="Calibri" w:cs="Calibri"/>
          <w:color w:val="000000"/>
          <w:sz w:val="24"/>
        </w:rPr>
        <w:t>accessed September 16, 2024</w:t>
      </w:r>
      <w:r w:rsidR="004D7E15">
        <w:rPr>
          <w:rFonts w:ascii="Calibri" w:eastAsia="Calibri" w:hAnsi="Calibri" w:cs="Calibri"/>
          <w:color w:val="000000"/>
          <w:sz w:val="24"/>
        </w:rPr>
        <w:t>,</w:t>
      </w:r>
      <w:r w:rsidR="00A3531C" w:rsidRPr="00A3531C">
        <w:rPr>
          <w:rFonts w:ascii="Calibri" w:eastAsia="Calibri" w:hAnsi="Calibri" w:cs="Calibri"/>
          <w:color w:val="000000"/>
          <w:sz w:val="24"/>
        </w:rPr>
        <w:t xml:space="preserve"> at </w:t>
      </w:r>
      <w:r w:rsidRPr="00D91900">
        <w:rPr>
          <w:rFonts w:ascii="Calibri" w:eastAsia="Calibri" w:hAnsi="Calibri" w:cstheme="minorHAnsi"/>
          <w:color w:val="0000FF"/>
          <w:sz w:val="24"/>
        </w:rPr>
        <w:t>https://help.waterdata.usgs.gov/code/val_qual_cd_query</w:t>
      </w:r>
      <w:r w:rsidRPr="00D91900">
        <w:rPr>
          <w:rFonts w:ascii="Calibri" w:eastAsia="Calibri" w:hAnsi="Calibri" w:cstheme="minorHAnsi"/>
          <w:sz w:val="24"/>
        </w:rPr>
        <w:t>.</w:t>
      </w:r>
    </w:p>
    <w:p w14:paraId="33D9BF70" w14:textId="77CA3DA5" w:rsidR="005A33FF" w:rsidRPr="00D91900" w:rsidRDefault="005A33FF" w:rsidP="00C644D2">
      <w:pPr>
        <w:pBdr>
          <w:top w:val="nil"/>
          <w:left w:val="nil"/>
          <w:bottom w:val="nil"/>
          <w:right w:val="nil"/>
          <w:between w:val="nil"/>
        </w:pBdr>
        <w:spacing w:after="0" w:line="22" w:lineRule="atLeast"/>
        <w:ind w:left="360" w:hanging="360"/>
        <w:rPr>
          <w:rFonts w:ascii="Calibri" w:eastAsia="Calibri" w:hAnsi="Calibri" w:cstheme="minorHAnsi"/>
          <w:color w:val="000000"/>
          <w:sz w:val="24"/>
        </w:rPr>
      </w:pPr>
      <w:r w:rsidRPr="00D91900">
        <w:rPr>
          <w:rFonts w:eastAsia="Calibri" w:cstheme="minorHAnsi"/>
          <w:color w:val="000000"/>
          <w:sz w:val="24"/>
          <w:szCs w:val="24"/>
        </w:rPr>
        <w:t>U.S. Geological Survey, 2011b, Remark Codes: U.S. Geological Survey, National Water Information System: Help System,</w:t>
      </w:r>
      <w:r w:rsidR="00A3531C">
        <w:rPr>
          <w:rFonts w:eastAsia="Calibri" w:cstheme="minorHAnsi"/>
          <w:color w:val="000000"/>
          <w:sz w:val="24"/>
          <w:szCs w:val="24"/>
        </w:rPr>
        <w:t xml:space="preserve"> </w:t>
      </w:r>
      <w:r w:rsidR="00A3531C" w:rsidRPr="00A3531C">
        <w:rPr>
          <w:rFonts w:eastAsia="Calibri" w:cstheme="minorHAnsi"/>
          <w:color w:val="000000"/>
          <w:sz w:val="24"/>
          <w:szCs w:val="24"/>
        </w:rPr>
        <w:t>accessed September 16, 2024</w:t>
      </w:r>
      <w:r w:rsidR="004D7E15">
        <w:rPr>
          <w:rFonts w:eastAsia="Calibri" w:cstheme="minorHAnsi"/>
          <w:color w:val="000000"/>
          <w:sz w:val="24"/>
          <w:szCs w:val="24"/>
        </w:rPr>
        <w:t>,</w:t>
      </w:r>
      <w:r w:rsidR="00A3531C" w:rsidRPr="00A3531C">
        <w:rPr>
          <w:rFonts w:eastAsia="Calibri" w:cstheme="minorHAnsi"/>
          <w:color w:val="000000"/>
          <w:sz w:val="24"/>
          <w:szCs w:val="24"/>
        </w:rPr>
        <w:t xml:space="preserve"> at</w:t>
      </w:r>
      <w:r w:rsidRPr="00D91900">
        <w:rPr>
          <w:rFonts w:eastAsia="Calibri" w:cstheme="minorHAnsi"/>
          <w:color w:val="000000"/>
          <w:sz w:val="24"/>
          <w:szCs w:val="24"/>
        </w:rPr>
        <w:t xml:space="preserve"> </w:t>
      </w:r>
      <w:r w:rsidRPr="00D91900">
        <w:rPr>
          <w:rFonts w:ascii="Calibri" w:eastAsia="Calibri" w:hAnsi="Calibri" w:cstheme="minorHAnsi"/>
          <w:color w:val="0000FF"/>
          <w:sz w:val="24"/>
        </w:rPr>
        <w:t>https://help.waterdata.usgs.gov/remark_cd</w:t>
      </w:r>
      <w:r w:rsidRPr="00D91900">
        <w:rPr>
          <w:rFonts w:ascii="Calibri" w:eastAsia="Calibri" w:hAnsi="Calibri" w:cstheme="minorHAnsi"/>
          <w:color w:val="000000"/>
          <w:sz w:val="24"/>
        </w:rPr>
        <w:t>.</w:t>
      </w:r>
    </w:p>
    <w:p w14:paraId="28457CD5" w14:textId="38085D59" w:rsidR="005F1B12" w:rsidRPr="00D91900" w:rsidRDefault="005F1B12" w:rsidP="00C644D2">
      <w:pPr>
        <w:pBdr>
          <w:top w:val="nil"/>
          <w:left w:val="nil"/>
          <w:bottom w:val="nil"/>
          <w:right w:val="nil"/>
          <w:between w:val="nil"/>
        </w:pBdr>
        <w:spacing w:after="0" w:line="22" w:lineRule="atLeast"/>
        <w:ind w:left="360" w:hanging="360"/>
        <w:rPr>
          <w:rFonts w:eastAsia="Calibri" w:cstheme="minorHAnsi"/>
          <w:sz w:val="24"/>
          <w:szCs w:val="24"/>
        </w:rPr>
      </w:pPr>
      <w:r w:rsidRPr="00D91900">
        <w:rPr>
          <w:rFonts w:eastAsia="Calibri" w:cstheme="minorHAnsi"/>
          <w:sz w:val="24"/>
          <w:szCs w:val="24"/>
        </w:rPr>
        <w:t>U.S. Geological Survey, 201</w:t>
      </w:r>
      <w:r w:rsidR="00A3531C">
        <w:rPr>
          <w:rFonts w:eastAsia="Calibri" w:cstheme="minorHAnsi"/>
          <w:sz w:val="24"/>
          <w:szCs w:val="24"/>
        </w:rPr>
        <w:t>8</w:t>
      </w:r>
      <w:r w:rsidRPr="00D91900">
        <w:rPr>
          <w:rFonts w:eastAsia="Calibri" w:cstheme="minorHAnsi"/>
          <w:sz w:val="24"/>
          <w:szCs w:val="24"/>
        </w:rPr>
        <w:t xml:space="preserve">, National Hydrography Dataset (NHD): U. S. Geological Survey, National Geospatial Technical Operations Center (NGTOC), accessed December 14, 2018, at </w:t>
      </w:r>
      <w:hyperlink r:id="rId32" w:history="1">
        <w:r w:rsidRPr="00D91900">
          <w:rPr>
            <w:rFonts w:eastAsia="Calibri" w:cstheme="minorHAnsi"/>
            <w:color w:val="0000FF"/>
            <w:sz w:val="24"/>
            <w:szCs w:val="24"/>
          </w:rPr>
          <w:t>http://nhd.usgs.gov</w:t>
        </w:r>
      </w:hyperlink>
      <w:r w:rsidRPr="00D91900">
        <w:rPr>
          <w:rFonts w:eastAsia="Calibri" w:cstheme="minorHAnsi"/>
          <w:sz w:val="24"/>
          <w:szCs w:val="24"/>
        </w:rPr>
        <w:t>.</w:t>
      </w:r>
    </w:p>
    <w:p w14:paraId="000BBD53" w14:textId="00E66140" w:rsidR="00957A29" w:rsidRPr="00D91900" w:rsidRDefault="00957A29" w:rsidP="00957A29">
      <w:pPr>
        <w:pBdr>
          <w:top w:val="nil"/>
          <w:left w:val="nil"/>
          <w:bottom w:val="nil"/>
          <w:right w:val="nil"/>
          <w:between w:val="nil"/>
        </w:pBdr>
        <w:spacing w:after="0" w:line="22" w:lineRule="atLeast"/>
        <w:ind w:left="360" w:hanging="360"/>
        <w:rPr>
          <w:rFonts w:eastAsia="Calibri" w:cstheme="minorHAnsi"/>
          <w:sz w:val="24"/>
          <w:szCs w:val="24"/>
        </w:rPr>
      </w:pPr>
      <w:bookmarkStart w:id="36" w:name="_Hlk140158097"/>
      <w:r w:rsidRPr="00D91900">
        <w:rPr>
          <w:rFonts w:eastAsia="Calibri" w:cstheme="minorHAnsi"/>
          <w:sz w:val="24"/>
          <w:szCs w:val="24"/>
        </w:rPr>
        <w:lastRenderedPageBreak/>
        <w:t>U.S. Geological Survey, 202</w:t>
      </w:r>
      <w:r w:rsidR="00A3531C">
        <w:rPr>
          <w:rFonts w:eastAsia="Calibri" w:cstheme="minorHAnsi"/>
          <w:sz w:val="24"/>
          <w:szCs w:val="24"/>
        </w:rPr>
        <w:t>2</w:t>
      </w:r>
      <w:r w:rsidRPr="00D91900">
        <w:rPr>
          <w:rFonts w:eastAsia="Calibri" w:cstheme="minorHAnsi"/>
          <w:sz w:val="24"/>
          <w:szCs w:val="24"/>
        </w:rPr>
        <w:t xml:space="preserve">, Geographic names information system (GNIS) website: U.S. Geological Survey, accessed June 19, 2023, at </w:t>
      </w:r>
      <w:hyperlink r:id="rId33" w:history="1">
        <w:r w:rsidRPr="00D91900">
          <w:rPr>
            <w:rStyle w:val="Hyperlink"/>
            <w:rFonts w:eastAsia="Calibri" w:cstheme="minorHAnsi"/>
            <w:sz w:val="24"/>
            <w:szCs w:val="24"/>
            <w:u w:val="none"/>
          </w:rPr>
          <w:t>https://www.usgs.gov/tools/geographic-names-information-system-gnis</w:t>
        </w:r>
      </w:hyperlink>
      <w:r w:rsidRPr="00D91900">
        <w:rPr>
          <w:rFonts w:eastAsia="Calibri" w:cstheme="minorHAnsi"/>
          <w:sz w:val="24"/>
          <w:szCs w:val="24"/>
        </w:rPr>
        <w:t>.</w:t>
      </w:r>
      <w:bookmarkEnd w:id="36"/>
    </w:p>
    <w:p w14:paraId="3DF389A7" w14:textId="24ABE9E4" w:rsidR="005A33FF" w:rsidRPr="00D91900" w:rsidRDefault="005A33FF" w:rsidP="00A3531C">
      <w:pPr>
        <w:pBdr>
          <w:top w:val="nil"/>
          <w:left w:val="nil"/>
          <w:bottom w:val="nil"/>
          <w:right w:val="nil"/>
          <w:between w:val="nil"/>
        </w:pBdr>
        <w:spacing w:after="0" w:line="22" w:lineRule="atLeast"/>
        <w:ind w:left="360" w:hanging="360"/>
        <w:rPr>
          <w:rFonts w:eastAsia="Calibri" w:cstheme="minorHAnsi"/>
          <w:sz w:val="24"/>
          <w:szCs w:val="24"/>
        </w:rPr>
      </w:pPr>
      <w:bookmarkStart w:id="37" w:name="_Hlk177399400"/>
      <w:r w:rsidRPr="00D91900">
        <w:rPr>
          <w:rFonts w:eastAsia="Calibri" w:cstheme="minorHAnsi"/>
          <w:sz w:val="24"/>
          <w:szCs w:val="24"/>
        </w:rPr>
        <w:t>U.S. Geological Survey, 202</w:t>
      </w:r>
      <w:r w:rsidR="006B16C4">
        <w:rPr>
          <w:rFonts w:eastAsia="Calibri" w:cstheme="minorHAnsi"/>
          <w:sz w:val="24"/>
          <w:szCs w:val="24"/>
        </w:rPr>
        <w:t>4</w:t>
      </w:r>
      <w:r w:rsidRPr="00D91900">
        <w:rPr>
          <w:rFonts w:eastAsia="Calibri" w:cstheme="minorHAnsi"/>
          <w:sz w:val="24"/>
          <w:szCs w:val="24"/>
        </w:rPr>
        <w:t>, USGS water data for the Nation: U.S. Geological Survey, National</w:t>
      </w:r>
      <w:r w:rsidR="00A3531C">
        <w:rPr>
          <w:rFonts w:eastAsia="Calibri" w:cstheme="minorHAnsi"/>
          <w:sz w:val="24"/>
          <w:szCs w:val="24"/>
        </w:rPr>
        <w:t xml:space="preserve"> </w:t>
      </w:r>
      <w:r w:rsidRPr="00D91900">
        <w:rPr>
          <w:rFonts w:eastAsia="Calibri" w:cstheme="minorHAnsi"/>
          <w:sz w:val="24"/>
          <w:szCs w:val="24"/>
        </w:rPr>
        <w:t>Water Information System database,</w:t>
      </w:r>
      <w:r w:rsidR="00A3531C">
        <w:rPr>
          <w:rFonts w:eastAsia="Calibri" w:cstheme="minorHAnsi"/>
          <w:sz w:val="24"/>
          <w:szCs w:val="24"/>
        </w:rPr>
        <w:t xml:space="preserve"> </w:t>
      </w:r>
      <w:bookmarkStart w:id="38" w:name="_Hlk177399280"/>
      <w:r w:rsidR="00A3531C">
        <w:rPr>
          <w:rFonts w:eastAsia="Calibri" w:cstheme="minorHAnsi"/>
          <w:sz w:val="24"/>
          <w:szCs w:val="24"/>
        </w:rPr>
        <w:t>accessed September 16, 2024</w:t>
      </w:r>
      <w:r w:rsidR="004D7E15">
        <w:rPr>
          <w:rFonts w:eastAsia="Calibri" w:cstheme="minorHAnsi"/>
          <w:sz w:val="24"/>
          <w:szCs w:val="24"/>
        </w:rPr>
        <w:t>,</w:t>
      </w:r>
      <w:r w:rsidR="00A3531C">
        <w:rPr>
          <w:rFonts w:eastAsia="Calibri" w:cstheme="minorHAnsi"/>
          <w:sz w:val="24"/>
          <w:szCs w:val="24"/>
        </w:rPr>
        <w:t xml:space="preserve"> at</w:t>
      </w:r>
      <w:r w:rsidRPr="00D91900">
        <w:rPr>
          <w:rFonts w:eastAsia="Calibri" w:cstheme="minorHAnsi"/>
          <w:sz w:val="24"/>
          <w:szCs w:val="24"/>
        </w:rPr>
        <w:t xml:space="preserve"> </w:t>
      </w:r>
      <w:bookmarkEnd w:id="38"/>
      <w:r w:rsidR="006B16C4" w:rsidRPr="00A3531C">
        <w:rPr>
          <w:rStyle w:val="Hyperlink"/>
          <w:rFonts w:eastAsia="Calibri" w:cstheme="minorHAnsi"/>
          <w:sz w:val="24"/>
          <w:szCs w:val="24"/>
          <w:u w:val="none"/>
        </w:rPr>
        <w:t>https://doi.org/10.5066/F7P55KJN</w:t>
      </w:r>
      <w:r w:rsidRPr="00D91900">
        <w:rPr>
          <w:rFonts w:eastAsia="Calibri" w:cstheme="minorHAnsi"/>
          <w:sz w:val="24"/>
          <w:szCs w:val="24"/>
        </w:rPr>
        <w:t>.</w:t>
      </w:r>
    </w:p>
    <w:p w14:paraId="49B1B66F" w14:textId="374A984B" w:rsidR="00957A29" w:rsidRPr="00957A29" w:rsidRDefault="005F1B12" w:rsidP="00D91900">
      <w:pPr>
        <w:pBdr>
          <w:top w:val="nil"/>
          <w:left w:val="nil"/>
          <w:bottom w:val="nil"/>
          <w:right w:val="nil"/>
          <w:between w:val="nil"/>
        </w:pBdr>
        <w:spacing w:after="0" w:line="22" w:lineRule="atLeast"/>
        <w:ind w:left="360" w:hanging="360"/>
        <w:rPr>
          <w:rFonts w:eastAsia="Calibri" w:cstheme="minorHAnsi"/>
          <w:sz w:val="24"/>
          <w:szCs w:val="24"/>
        </w:rPr>
      </w:pPr>
      <w:bookmarkStart w:id="39" w:name="_Hlk103013358"/>
      <w:bookmarkEnd w:id="37"/>
      <w:r w:rsidRPr="00D91900">
        <w:rPr>
          <w:rFonts w:eastAsia="Calibri" w:cstheme="minorHAnsi"/>
          <w:sz w:val="24"/>
          <w:szCs w:val="24"/>
        </w:rPr>
        <w:t>Van Rossum, G</w:t>
      </w:r>
      <w:r w:rsidRPr="005F1B12">
        <w:rPr>
          <w:rFonts w:eastAsia="Calibri" w:cstheme="minorHAnsi"/>
          <w:sz w:val="24"/>
          <w:szCs w:val="24"/>
        </w:rPr>
        <w:t>., and Drake, F. L., 2009, Python 3 Reference Manual. Scotts Valley, CA: CreateSpace, accessed March 15, 2017.</w:t>
      </w:r>
      <w:bookmarkEnd w:id="39"/>
    </w:p>
    <w:sectPr w:rsidR="00957A29" w:rsidRPr="00957A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19AB4" w14:textId="77777777" w:rsidR="00200356" w:rsidRDefault="00200356" w:rsidP="00FB6D51">
      <w:pPr>
        <w:spacing w:after="0" w:line="240" w:lineRule="auto"/>
      </w:pPr>
      <w:r>
        <w:separator/>
      </w:r>
    </w:p>
  </w:endnote>
  <w:endnote w:type="continuationSeparator" w:id="0">
    <w:p w14:paraId="707B129E" w14:textId="77777777" w:rsidR="00200356" w:rsidRDefault="00200356" w:rsidP="00FB6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B3B3B" w14:textId="77777777" w:rsidR="00200356" w:rsidRDefault="00200356" w:rsidP="00FB6D51">
      <w:pPr>
        <w:spacing w:after="0" w:line="240" w:lineRule="auto"/>
      </w:pPr>
      <w:r>
        <w:separator/>
      </w:r>
    </w:p>
  </w:footnote>
  <w:footnote w:type="continuationSeparator" w:id="0">
    <w:p w14:paraId="667924F5" w14:textId="77777777" w:rsidR="00200356" w:rsidRDefault="00200356" w:rsidP="00FB6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64C75"/>
    <w:multiLevelType w:val="hybridMultilevel"/>
    <w:tmpl w:val="B47EF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D96DBA"/>
    <w:multiLevelType w:val="hybridMultilevel"/>
    <w:tmpl w:val="B386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874505">
    <w:abstractNumId w:val="0"/>
  </w:num>
  <w:num w:numId="2" w16cid:durableId="189218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72"/>
    <w:rsid w:val="00000BBF"/>
    <w:rsid w:val="00004A5D"/>
    <w:rsid w:val="00007F42"/>
    <w:rsid w:val="000148D1"/>
    <w:rsid w:val="00023EA5"/>
    <w:rsid w:val="00033A3C"/>
    <w:rsid w:val="000421CD"/>
    <w:rsid w:val="00045440"/>
    <w:rsid w:val="00051A9F"/>
    <w:rsid w:val="0005618B"/>
    <w:rsid w:val="00071C1A"/>
    <w:rsid w:val="0007391A"/>
    <w:rsid w:val="00073A72"/>
    <w:rsid w:val="0008458C"/>
    <w:rsid w:val="00085B3C"/>
    <w:rsid w:val="00093050"/>
    <w:rsid w:val="00093D2E"/>
    <w:rsid w:val="000A627C"/>
    <w:rsid w:val="000B4A43"/>
    <w:rsid w:val="000C1B4D"/>
    <w:rsid w:val="000C3567"/>
    <w:rsid w:val="000C5B0C"/>
    <w:rsid w:val="000D6700"/>
    <w:rsid w:val="000E05D0"/>
    <w:rsid w:val="000E0F9F"/>
    <w:rsid w:val="000E1FC9"/>
    <w:rsid w:val="000F4FC2"/>
    <w:rsid w:val="000F785B"/>
    <w:rsid w:val="00100B18"/>
    <w:rsid w:val="001072B6"/>
    <w:rsid w:val="00116D6D"/>
    <w:rsid w:val="00131775"/>
    <w:rsid w:val="00134C07"/>
    <w:rsid w:val="00146E28"/>
    <w:rsid w:val="00170648"/>
    <w:rsid w:val="001711C0"/>
    <w:rsid w:val="00171FD9"/>
    <w:rsid w:val="0017437D"/>
    <w:rsid w:val="00176B12"/>
    <w:rsid w:val="001774A7"/>
    <w:rsid w:val="0018710E"/>
    <w:rsid w:val="00192F62"/>
    <w:rsid w:val="001A0067"/>
    <w:rsid w:val="001A2C58"/>
    <w:rsid w:val="001A52AC"/>
    <w:rsid w:val="001B2162"/>
    <w:rsid w:val="001B6E1B"/>
    <w:rsid w:val="001D4997"/>
    <w:rsid w:val="001F1ED1"/>
    <w:rsid w:val="00200356"/>
    <w:rsid w:val="00204630"/>
    <w:rsid w:val="0022252B"/>
    <w:rsid w:val="00236E30"/>
    <w:rsid w:val="00240677"/>
    <w:rsid w:val="00241090"/>
    <w:rsid w:val="00242A55"/>
    <w:rsid w:val="002508EF"/>
    <w:rsid w:val="00254976"/>
    <w:rsid w:val="00256C62"/>
    <w:rsid w:val="00260790"/>
    <w:rsid w:val="00266554"/>
    <w:rsid w:val="00267104"/>
    <w:rsid w:val="00280CEA"/>
    <w:rsid w:val="0028130B"/>
    <w:rsid w:val="00285464"/>
    <w:rsid w:val="00293AF1"/>
    <w:rsid w:val="002A365F"/>
    <w:rsid w:val="002B2AB4"/>
    <w:rsid w:val="002C28D9"/>
    <w:rsid w:val="002C341D"/>
    <w:rsid w:val="002D6698"/>
    <w:rsid w:val="002E18E9"/>
    <w:rsid w:val="002E28EE"/>
    <w:rsid w:val="002F314D"/>
    <w:rsid w:val="003029A7"/>
    <w:rsid w:val="00310297"/>
    <w:rsid w:val="003119B5"/>
    <w:rsid w:val="00315113"/>
    <w:rsid w:val="00324DD7"/>
    <w:rsid w:val="003455B6"/>
    <w:rsid w:val="003474C3"/>
    <w:rsid w:val="00361C63"/>
    <w:rsid w:val="00376339"/>
    <w:rsid w:val="00380CCE"/>
    <w:rsid w:val="00395C1A"/>
    <w:rsid w:val="003972D2"/>
    <w:rsid w:val="003A67A1"/>
    <w:rsid w:val="003B0346"/>
    <w:rsid w:val="003C03D0"/>
    <w:rsid w:val="003C49BB"/>
    <w:rsid w:val="003C67D1"/>
    <w:rsid w:val="003C7355"/>
    <w:rsid w:val="003D6FD1"/>
    <w:rsid w:val="003E6E23"/>
    <w:rsid w:val="003E7714"/>
    <w:rsid w:val="003F7B58"/>
    <w:rsid w:val="0040641B"/>
    <w:rsid w:val="00406729"/>
    <w:rsid w:val="00413CB6"/>
    <w:rsid w:val="004151D1"/>
    <w:rsid w:val="00426BC3"/>
    <w:rsid w:val="00433B56"/>
    <w:rsid w:val="004349DC"/>
    <w:rsid w:val="00440017"/>
    <w:rsid w:val="00451885"/>
    <w:rsid w:val="00471C82"/>
    <w:rsid w:val="00472120"/>
    <w:rsid w:val="004773AC"/>
    <w:rsid w:val="00482D79"/>
    <w:rsid w:val="0049653D"/>
    <w:rsid w:val="004A1E12"/>
    <w:rsid w:val="004A5A1A"/>
    <w:rsid w:val="004C10F6"/>
    <w:rsid w:val="004C33A8"/>
    <w:rsid w:val="004C63EB"/>
    <w:rsid w:val="004D692B"/>
    <w:rsid w:val="004D7E15"/>
    <w:rsid w:val="004E0FDC"/>
    <w:rsid w:val="004E3F2D"/>
    <w:rsid w:val="004E6616"/>
    <w:rsid w:val="004F452E"/>
    <w:rsid w:val="00502487"/>
    <w:rsid w:val="00502693"/>
    <w:rsid w:val="00503504"/>
    <w:rsid w:val="00513678"/>
    <w:rsid w:val="005277C6"/>
    <w:rsid w:val="005304B7"/>
    <w:rsid w:val="00531E32"/>
    <w:rsid w:val="00535A26"/>
    <w:rsid w:val="00536891"/>
    <w:rsid w:val="00547CE6"/>
    <w:rsid w:val="005651AE"/>
    <w:rsid w:val="00565BF3"/>
    <w:rsid w:val="00565F2F"/>
    <w:rsid w:val="0057672E"/>
    <w:rsid w:val="00577419"/>
    <w:rsid w:val="005A1EB3"/>
    <w:rsid w:val="005A33FF"/>
    <w:rsid w:val="005A3E44"/>
    <w:rsid w:val="005D052C"/>
    <w:rsid w:val="005E15EA"/>
    <w:rsid w:val="005E51CE"/>
    <w:rsid w:val="005F1B12"/>
    <w:rsid w:val="006023C9"/>
    <w:rsid w:val="00613033"/>
    <w:rsid w:val="00616488"/>
    <w:rsid w:val="00617551"/>
    <w:rsid w:val="00625E70"/>
    <w:rsid w:val="00635455"/>
    <w:rsid w:val="00651D85"/>
    <w:rsid w:val="00656CDF"/>
    <w:rsid w:val="00662C9B"/>
    <w:rsid w:val="00665558"/>
    <w:rsid w:val="0067616B"/>
    <w:rsid w:val="00691E0F"/>
    <w:rsid w:val="00693C35"/>
    <w:rsid w:val="00696F6C"/>
    <w:rsid w:val="006A4C6D"/>
    <w:rsid w:val="006A6AB8"/>
    <w:rsid w:val="006B16C4"/>
    <w:rsid w:val="006B2764"/>
    <w:rsid w:val="006B2B71"/>
    <w:rsid w:val="006C264B"/>
    <w:rsid w:val="006C392B"/>
    <w:rsid w:val="006C5B30"/>
    <w:rsid w:val="006F2712"/>
    <w:rsid w:val="006F72B7"/>
    <w:rsid w:val="00703CF1"/>
    <w:rsid w:val="007150A7"/>
    <w:rsid w:val="0071573E"/>
    <w:rsid w:val="007204FB"/>
    <w:rsid w:val="007238EF"/>
    <w:rsid w:val="0073799E"/>
    <w:rsid w:val="0074421C"/>
    <w:rsid w:val="00744647"/>
    <w:rsid w:val="007464E4"/>
    <w:rsid w:val="0075033A"/>
    <w:rsid w:val="00753D50"/>
    <w:rsid w:val="00754EE9"/>
    <w:rsid w:val="00765B21"/>
    <w:rsid w:val="00766748"/>
    <w:rsid w:val="0076764B"/>
    <w:rsid w:val="00775E22"/>
    <w:rsid w:val="007866C3"/>
    <w:rsid w:val="007933FD"/>
    <w:rsid w:val="007A22FA"/>
    <w:rsid w:val="007A26D8"/>
    <w:rsid w:val="007A3B17"/>
    <w:rsid w:val="007B728E"/>
    <w:rsid w:val="007C293A"/>
    <w:rsid w:val="007C6D16"/>
    <w:rsid w:val="007D09F3"/>
    <w:rsid w:val="007D485B"/>
    <w:rsid w:val="007E6B74"/>
    <w:rsid w:val="007F4642"/>
    <w:rsid w:val="008055EE"/>
    <w:rsid w:val="00805673"/>
    <w:rsid w:val="0081142A"/>
    <w:rsid w:val="00817071"/>
    <w:rsid w:val="00825EDE"/>
    <w:rsid w:val="0083745E"/>
    <w:rsid w:val="00862754"/>
    <w:rsid w:val="008670A5"/>
    <w:rsid w:val="0087709E"/>
    <w:rsid w:val="008856B8"/>
    <w:rsid w:val="00890672"/>
    <w:rsid w:val="008B4B17"/>
    <w:rsid w:val="008D3205"/>
    <w:rsid w:val="008F4926"/>
    <w:rsid w:val="008F5722"/>
    <w:rsid w:val="00902615"/>
    <w:rsid w:val="0090516B"/>
    <w:rsid w:val="00910F9E"/>
    <w:rsid w:val="00914EF1"/>
    <w:rsid w:val="009219E8"/>
    <w:rsid w:val="009331B0"/>
    <w:rsid w:val="009518BE"/>
    <w:rsid w:val="00957A29"/>
    <w:rsid w:val="00962900"/>
    <w:rsid w:val="0096609E"/>
    <w:rsid w:val="00972734"/>
    <w:rsid w:val="0097626F"/>
    <w:rsid w:val="009900D2"/>
    <w:rsid w:val="009916FE"/>
    <w:rsid w:val="009A3F19"/>
    <w:rsid w:val="009B3A2C"/>
    <w:rsid w:val="009C022E"/>
    <w:rsid w:val="009C4AAF"/>
    <w:rsid w:val="009C691E"/>
    <w:rsid w:val="009C69B3"/>
    <w:rsid w:val="009F2456"/>
    <w:rsid w:val="00A06C66"/>
    <w:rsid w:val="00A16B25"/>
    <w:rsid w:val="00A3416F"/>
    <w:rsid w:val="00A3531C"/>
    <w:rsid w:val="00A451C7"/>
    <w:rsid w:val="00A46597"/>
    <w:rsid w:val="00A466C5"/>
    <w:rsid w:val="00A52E0E"/>
    <w:rsid w:val="00A92706"/>
    <w:rsid w:val="00A9642A"/>
    <w:rsid w:val="00A9724E"/>
    <w:rsid w:val="00AB535A"/>
    <w:rsid w:val="00AB73DA"/>
    <w:rsid w:val="00AC2C89"/>
    <w:rsid w:val="00AD3423"/>
    <w:rsid w:val="00AD5CF1"/>
    <w:rsid w:val="00AE25B7"/>
    <w:rsid w:val="00AE52D4"/>
    <w:rsid w:val="00AE5E95"/>
    <w:rsid w:val="00AF47E3"/>
    <w:rsid w:val="00B106DF"/>
    <w:rsid w:val="00B23A16"/>
    <w:rsid w:val="00B444C0"/>
    <w:rsid w:val="00B542C6"/>
    <w:rsid w:val="00B644AA"/>
    <w:rsid w:val="00B8177C"/>
    <w:rsid w:val="00B866C0"/>
    <w:rsid w:val="00BA0BFC"/>
    <w:rsid w:val="00BB1163"/>
    <w:rsid w:val="00BB1331"/>
    <w:rsid w:val="00BB631E"/>
    <w:rsid w:val="00BC03F0"/>
    <w:rsid w:val="00BC335E"/>
    <w:rsid w:val="00BC611F"/>
    <w:rsid w:val="00BE3F4F"/>
    <w:rsid w:val="00BF08AB"/>
    <w:rsid w:val="00C05B63"/>
    <w:rsid w:val="00C30563"/>
    <w:rsid w:val="00C409EE"/>
    <w:rsid w:val="00C4671F"/>
    <w:rsid w:val="00C53EF2"/>
    <w:rsid w:val="00C644D2"/>
    <w:rsid w:val="00C74CC2"/>
    <w:rsid w:val="00CB3B02"/>
    <w:rsid w:val="00CC3405"/>
    <w:rsid w:val="00CE16BD"/>
    <w:rsid w:val="00CE565C"/>
    <w:rsid w:val="00D02E52"/>
    <w:rsid w:val="00D1526D"/>
    <w:rsid w:val="00D15823"/>
    <w:rsid w:val="00D23696"/>
    <w:rsid w:val="00D2466D"/>
    <w:rsid w:val="00D34DE2"/>
    <w:rsid w:val="00D627C1"/>
    <w:rsid w:val="00D80B1B"/>
    <w:rsid w:val="00D87EBF"/>
    <w:rsid w:val="00D91900"/>
    <w:rsid w:val="00DA0B7C"/>
    <w:rsid w:val="00DA1358"/>
    <w:rsid w:val="00DB305C"/>
    <w:rsid w:val="00DB3975"/>
    <w:rsid w:val="00DC7432"/>
    <w:rsid w:val="00DD2B1D"/>
    <w:rsid w:val="00DE6FDE"/>
    <w:rsid w:val="00DF031C"/>
    <w:rsid w:val="00DF455D"/>
    <w:rsid w:val="00E06DA5"/>
    <w:rsid w:val="00E11FDC"/>
    <w:rsid w:val="00E174FD"/>
    <w:rsid w:val="00E219B5"/>
    <w:rsid w:val="00E2265F"/>
    <w:rsid w:val="00E2741F"/>
    <w:rsid w:val="00E34D5C"/>
    <w:rsid w:val="00E414BC"/>
    <w:rsid w:val="00E418CA"/>
    <w:rsid w:val="00E41E9B"/>
    <w:rsid w:val="00E44A06"/>
    <w:rsid w:val="00E66ADC"/>
    <w:rsid w:val="00E6775B"/>
    <w:rsid w:val="00E857E7"/>
    <w:rsid w:val="00E93656"/>
    <w:rsid w:val="00E9478B"/>
    <w:rsid w:val="00EA4BFA"/>
    <w:rsid w:val="00ED0368"/>
    <w:rsid w:val="00ED09A3"/>
    <w:rsid w:val="00ED1DD7"/>
    <w:rsid w:val="00ED2F10"/>
    <w:rsid w:val="00EE494D"/>
    <w:rsid w:val="00EF0FD4"/>
    <w:rsid w:val="00EF2E0E"/>
    <w:rsid w:val="00EF3704"/>
    <w:rsid w:val="00EF3DAD"/>
    <w:rsid w:val="00F04318"/>
    <w:rsid w:val="00F05BA6"/>
    <w:rsid w:val="00F063EF"/>
    <w:rsid w:val="00F135C1"/>
    <w:rsid w:val="00F13ADA"/>
    <w:rsid w:val="00F20AB6"/>
    <w:rsid w:val="00F279EF"/>
    <w:rsid w:val="00F30D18"/>
    <w:rsid w:val="00F34032"/>
    <w:rsid w:val="00F43CF9"/>
    <w:rsid w:val="00F66F9E"/>
    <w:rsid w:val="00F8748E"/>
    <w:rsid w:val="00FA74B9"/>
    <w:rsid w:val="00FB25F2"/>
    <w:rsid w:val="00FB5686"/>
    <w:rsid w:val="00FB6D51"/>
    <w:rsid w:val="00FC0091"/>
    <w:rsid w:val="00FD471A"/>
    <w:rsid w:val="00FE46FC"/>
    <w:rsid w:val="00FF0E97"/>
    <w:rsid w:val="00FF3D7F"/>
    <w:rsid w:val="00FF7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88BB"/>
  <w15:chartTrackingRefBased/>
  <w15:docId w15:val="{5BCA6D03-336D-497B-B015-72AC41A7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3DA"/>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73DA"/>
    <w:pPr>
      <w:keepNext/>
      <w:keepLines/>
      <w:spacing w:before="40" w:after="0" w:line="36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06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0672"/>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890672"/>
  </w:style>
  <w:style w:type="paragraph" w:styleId="ListParagraph">
    <w:name w:val="List Paragraph"/>
    <w:basedOn w:val="Normal"/>
    <w:uiPriority w:val="34"/>
    <w:qFormat/>
    <w:rsid w:val="00440017"/>
    <w:pPr>
      <w:ind w:left="720"/>
      <w:contextualSpacing/>
    </w:pPr>
  </w:style>
  <w:style w:type="character" w:customStyle="1" w:styleId="Heading1Char">
    <w:name w:val="Heading 1 Char"/>
    <w:basedOn w:val="DefaultParagraphFont"/>
    <w:link w:val="Heading1"/>
    <w:rsid w:val="00AB73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AB73D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B73DA"/>
    <w:rPr>
      <w:color w:val="0000FF"/>
      <w:u w:val="single"/>
    </w:rPr>
  </w:style>
  <w:style w:type="character" w:styleId="CommentReference">
    <w:name w:val="annotation reference"/>
    <w:basedOn w:val="DefaultParagraphFont"/>
    <w:uiPriority w:val="99"/>
    <w:semiHidden/>
    <w:unhideWhenUsed/>
    <w:rsid w:val="00AB73DA"/>
    <w:rPr>
      <w:sz w:val="16"/>
      <w:szCs w:val="16"/>
    </w:rPr>
  </w:style>
  <w:style w:type="paragraph" w:styleId="BalloonText">
    <w:name w:val="Balloon Text"/>
    <w:basedOn w:val="Normal"/>
    <w:link w:val="BalloonTextChar"/>
    <w:uiPriority w:val="99"/>
    <w:semiHidden/>
    <w:unhideWhenUsed/>
    <w:rsid w:val="00F135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35C1"/>
    <w:rPr>
      <w:rFonts w:ascii="Segoe UI" w:hAnsi="Segoe UI" w:cs="Segoe UI"/>
      <w:sz w:val="18"/>
      <w:szCs w:val="18"/>
    </w:rPr>
  </w:style>
  <w:style w:type="paragraph" w:customStyle="1" w:styleId="EndNoteBibliography">
    <w:name w:val="EndNote Bibliography"/>
    <w:basedOn w:val="Normal"/>
    <w:link w:val="EndNoteBibliographyChar"/>
    <w:rsid w:val="00176B12"/>
    <w:pPr>
      <w:spacing w:line="240" w:lineRule="auto"/>
    </w:pPr>
    <w:rPr>
      <w:rFonts w:ascii="Calibri Light" w:hAnsi="Calibri Light" w:cs="Calibri Light"/>
      <w:noProof/>
      <w:sz w:val="26"/>
    </w:rPr>
  </w:style>
  <w:style w:type="character" w:customStyle="1" w:styleId="EndNoteBibliographyChar">
    <w:name w:val="EndNote Bibliography Char"/>
    <w:basedOn w:val="DefaultParagraphFont"/>
    <w:link w:val="EndNoteBibliography"/>
    <w:rsid w:val="00176B12"/>
    <w:rPr>
      <w:rFonts w:ascii="Calibri Light" w:hAnsi="Calibri Light" w:cs="Calibri Light"/>
      <w:noProof/>
      <w:sz w:val="26"/>
    </w:rPr>
  </w:style>
  <w:style w:type="paragraph" w:styleId="CommentText">
    <w:name w:val="annotation text"/>
    <w:basedOn w:val="Normal"/>
    <w:link w:val="CommentTextChar"/>
    <w:uiPriority w:val="99"/>
    <w:unhideWhenUsed/>
    <w:rsid w:val="00BE3F4F"/>
    <w:pPr>
      <w:spacing w:line="240" w:lineRule="auto"/>
    </w:pPr>
    <w:rPr>
      <w:sz w:val="20"/>
      <w:szCs w:val="20"/>
    </w:rPr>
  </w:style>
  <w:style w:type="character" w:customStyle="1" w:styleId="CommentTextChar">
    <w:name w:val="Comment Text Char"/>
    <w:basedOn w:val="DefaultParagraphFont"/>
    <w:link w:val="CommentText"/>
    <w:uiPriority w:val="99"/>
    <w:rsid w:val="00BE3F4F"/>
    <w:rPr>
      <w:sz w:val="20"/>
      <w:szCs w:val="20"/>
    </w:rPr>
  </w:style>
  <w:style w:type="paragraph" w:styleId="CommentSubject">
    <w:name w:val="annotation subject"/>
    <w:basedOn w:val="CommentText"/>
    <w:next w:val="CommentText"/>
    <w:link w:val="CommentSubjectChar"/>
    <w:uiPriority w:val="99"/>
    <w:semiHidden/>
    <w:unhideWhenUsed/>
    <w:rsid w:val="00BE3F4F"/>
    <w:rPr>
      <w:b/>
      <w:bCs/>
    </w:rPr>
  </w:style>
  <w:style w:type="character" w:customStyle="1" w:styleId="CommentSubjectChar">
    <w:name w:val="Comment Subject Char"/>
    <w:basedOn w:val="CommentTextChar"/>
    <w:link w:val="CommentSubject"/>
    <w:uiPriority w:val="99"/>
    <w:semiHidden/>
    <w:rsid w:val="00BE3F4F"/>
    <w:rPr>
      <w:b/>
      <w:bCs/>
      <w:sz w:val="20"/>
      <w:szCs w:val="20"/>
    </w:rPr>
  </w:style>
  <w:style w:type="paragraph" w:customStyle="1" w:styleId="Default">
    <w:name w:val="Default"/>
    <w:rsid w:val="002508EF"/>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280CE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6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D51"/>
  </w:style>
  <w:style w:type="paragraph" w:styleId="Footer">
    <w:name w:val="footer"/>
    <w:basedOn w:val="Normal"/>
    <w:link w:val="FooterChar"/>
    <w:uiPriority w:val="99"/>
    <w:unhideWhenUsed/>
    <w:rsid w:val="00FB6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D51"/>
  </w:style>
  <w:style w:type="paragraph" w:styleId="Title">
    <w:name w:val="Title"/>
    <w:basedOn w:val="Normal"/>
    <w:next w:val="Normal"/>
    <w:link w:val="TitleChar"/>
    <w:uiPriority w:val="10"/>
    <w:qFormat/>
    <w:rsid w:val="003F7B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B58"/>
    <w:rPr>
      <w:rFonts w:asciiTheme="majorHAnsi" w:eastAsiaTheme="majorEastAsia" w:hAnsiTheme="majorHAnsi" w:cstheme="majorBidi"/>
      <w:spacing w:val="-10"/>
      <w:kern w:val="28"/>
      <w:sz w:val="56"/>
      <w:szCs w:val="56"/>
    </w:rPr>
  </w:style>
  <w:style w:type="paragraph" w:styleId="Revision">
    <w:name w:val="Revision"/>
    <w:hidden/>
    <w:uiPriority w:val="99"/>
    <w:semiHidden/>
    <w:rsid w:val="009518BE"/>
    <w:pPr>
      <w:spacing w:after="0" w:line="240" w:lineRule="auto"/>
    </w:pPr>
  </w:style>
  <w:style w:type="character" w:styleId="UnresolvedMention">
    <w:name w:val="Unresolved Mention"/>
    <w:basedOn w:val="DefaultParagraphFont"/>
    <w:uiPriority w:val="99"/>
    <w:semiHidden/>
    <w:unhideWhenUsed/>
    <w:rsid w:val="00805673"/>
    <w:rPr>
      <w:color w:val="605E5C"/>
      <w:shd w:val="clear" w:color="auto" w:fill="E1DFDD"/>
    </w:rPr>
  </w:style>
  <w:style w:type="paragraph" w:customStyle="1" w:styleId="Reference">
    <w:name w:val="Reference"/>
    <w:basedOn w:val="Normal"/>
    <w:link w:val="ReferenceChar"/>
    <w:rsid w:val="004C63EB"/>
    <w:pPr>
      <w:spacing w:after="0" w:line="480" w:lineRule="auto"/>
      <w:ind w:left="202" w:hanging="202"/>
    </w:pPr>
    <w:rPr>
      <w:rFonts w:ascii="Times New Roman" w:eastAsia="Calibri" w:hAnsi="Times New Roman" w:cs="Times New Roman"/>
      <w:sz w:val="24"/>
      <w:szCs w:val="24"/>
    </w:rPr>
  </w:style>
  <w:style w:type="character" w:customStyle="1" w:styleId="ReferenceChar">
    <w:name w:val="Reference Char"/>
    <w:link w:val="Reference"/>
    <w:rsid w:val="004C63EB"/>
    <w:rPr>
      <w:rFonts w:ascii="Times New Roman" w:eastAsia="Calibri" w:hAnsi="Times New Roman" w:cs="Times New Roman"/>
      <w:sz w:val="24"/>
      <w:szCs w:val="24"/>
    </w:rPr>
  </w:style>
  <w:style w:type="table" w:styleId="PlainTable2">
    <w:name w:val="Plain Table 2"/>
    <w:basedOn w:val="TableNormal"/>
    <w:uiPriority w:val="42"/>
    <w:rsid w:val="00093D2E"/>
    <w:pPr>
      <w:spacing w:after="0" w:line="240" w:lineRule="auto"/>
    </w:pPr>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rsid w:val="002D6698"/>
    <w:rPr>
      <w:color w:val="2B579A"/>
      <w:shd w:val="clear" w:color="auto" w:fill="E1DFDD"/>
    </w:rPr>
  </w:style>
  <w:style w:type="paragraph" w:customStyle="1" w:styleId="12space">
    <w:name w:val="1.2 space"/>
    <w:basedOn w:val="Normal"/>
    <w:link w:val="12spaceChar"/>
    <w:qFormat/>
    <w:rsid w:val="00F063EF"/>
    <w:pPr>
      <w:spacing w:after="240" w:line="288" w:lineRule="exact"/>
    </w:pPr>
    <w:rPr>
      <w:rFonts w:ascii="Verdana" w:hAnsi="Verdana"/>
      <w:sz w:val="24"/>
      <w:szCs w:val="20"/>
    </w:rPr>
  </w:style>
  <w:style w:type="character" w:customStyle="1" w:styleId="12spaceChar">
    <w:name w:val="1.2 space Char"/>
    <w:link w:val="12space"/>
    <w:rsid w:val="00F063EF"/>
    <w:rPr>
      <w:rFonts w:ascii="Verdana" w:hAnsi="Verdan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14510">
      <w:bodyDiv w:val="1"/>
      <w:marLeft w:val="0"/>
      <w:marRight w:val="0"/>
      <w:marTop w:val="0"/>
      <w:marBottom w:val="0"/>
      <w:divBdr>
        <w:top w:val="none" w:sz="0" w:space="0" w:color="auto"/>
        <w:left w:val="none" w:sz="0" w:space="0" w:color="auto"/>
        <w:bottom w:val="none" w:sz="0" w:space="0" w:color="auto"/>
        <w:right w:val="none" w:sz="0" w:space="0" w:color="auto"/>
      </w:divBdr>
    </w:div>
    <w:div w:id="672952639">
      <w:bodyDiv w:val="1"/>
      <w:marLeft w:val="0"/>
      <w:marRight w:val="0"/>
      <w:marTop w:val="0"/>
      <w:marBottom w:val="0"/>
      <w:divBdr>
        <w:top w:val="none" w:sz="0" w:space="0" w:color="auto"/>
        <w:left w:val="none" w:sz="0" w:space="0" w:color="auto"/>
        <w:bottom w:val="none" w:sz="0" w:space="0" w:color="auto"/>
        <w:right w:val="none" w:sz="0" w:space="0" w:color="auto"/>
      </w:divBdr>
      <w:divsChild>
        <w:div w:id="341056288">
          <w:marLeft w:val="0"/>
          <w:marRight w:val="0"/>
          <w:marTop w:val="0"/>
          <w:marBottom w:val="0"/>
          <w:divBdr>
            <w:top w:val="none" w:sz="0" w:space="0" w:color="auto"/>
            <w:left w:val="none" w:sz="0" w:space="0" w:color="auto"/>
            <w:bottom w:val="none" w:sz="0" w:space="0" w:color="auto"/>
            <w:right w:val="none" w:sz="0" w:space="0" w:color="auto"/>
          </w:divBdr>
        </w:div>
        <w:div w:id="924876182">
          <w:marLeft w:val="0"/>
          <w:marRight w:val="0"/>
          <w:marTop w:val="0"/>
          <w:marBottom w:val="0"/>
          <w:divBdr>
            <w:top w:val="none" w:sz="0" w:space="0" w:color="auto"/>
            <w:left w:val="none" w:sz="0" w:space="0" w:color="auto"/>
            <w:bottom w:val="none" w:sz="0" w:space="0" w:color="auto"/>
            <w:right w:val="none" w:sz="0" w:space="0" w:color="auto"/>
          </w:divBdr>
        </w:div>
        <w:div w:id="466508177">
          <w:marLeft w:val="0"/>
          <w:marRight w:val="0"/>
          <w:marTop w:val="0"/>
          <w:marBottom w:val="0"/>
          <w:divBdr>
            <w:top w:val="none" w:sz="0" w:space="0" w:color="auto"/>
            <w:left w:val="none" w:sz="0" w:space="0" w:color="auto"/>
            <w:bottom w:val="none" w:sz="0" w:space="0" w:color="auto"/>
            <w:right w:val="none" w:sz="0" w:space="0" w:color="auto"/>
          </w:divBdr>
        </w:div>
      </w:divsChild>
    </w:div>
    <w:div w:id="1097601630">
      <w:bodyDiv w:val="1"/>
      <w:marLeft w:val="0"/>
      <w:marRight w:val="0"/>
      <w:marTop w:val="0"/>
      <w:marBottom w:val="0"/>
      <w:divBdr>
        <w:top w:val="none" w:sz="0" w:space="0" w:color="auto"/>
        <w:left w:val="none" w:sz="0" w:space="0" w:color="auto"/>
        <w:bottom w:val="none" w:sz="0" w:space="0" w:color="auto"/>
        <w:right w:val="none" w:sz="0" w:space="0" w:color="auto"/>
      </w:divBdr>
      <w:divsChild>
        <w:div w:id="380979793">
          <w:marLeft w:val="0"/>
          <w:marRight w:val="0"/>
          <w:marTop w:val="0"/>
          <w:marBottom w:val="0"/>
          <w:divBdr>
            <w:top w:val="none" w:sz="0" w:space="0" w:color="auto"/>
            <w:left w:val="none" w:sz="0" w:space="0" w:color="auto"/>
            <w:bottom w:val="none" w:sz="0" w:space="0" w:color="auto"/>
            <w:right w:val="none" w:sz="0" w:space="0" w:color="auto"/>
          </w:divBdr>
        </w:div>
        <w:div w:id="555434857">
          <w:marLeft w:val="0"/>
          <w:marRight w:val="0"/>
          <w:marTop w:val="0"/>
          <w:marBottom w:val="0"/>
          <w:divBdr>
            <w:top w:val="none" w:sz="0" w:space="0" w:color="auto"/>
            <w:left w:val="none" w:sz="0" w:space="0" w:color="auto"/>
            <w:bottom w:val="none" w:sz="0" w:space="0" w:color="auto"/>
            <w:right w:val="none" w:sz="0" w:space="0" w:color="auto"/>
          </w:divBdr>
        </w:div>
        <w:div w:id="973291633">
          <w:marLeft w:val="0"/>
          <w:marRight w:val="0"/>
          <w:marTop w:val="0"/>
          <w:marBottom w:val="0"/>
          <w:divBdr>
            <w:top w:val="none" w:sz="0" w:space="0" w:color="auto"/>
            <w:left w:val="none" w:sz="0" w:space="0" w:color="auto"/>
            <w:bottom w:val="none" w:sz="0" w:space="0" w:color="auto"/>
            <w:right w:val="none" w:sz="0" w:space="0" w:color="auto"/>
          </w:divBdr>
        </w:div>
      </w:divsChild>
    </w:div>
    <w:div w:id="1102333551">
      <w:bodyDiv w:val="1"/>
      <w:marLeft w:val="0"/>
      <w:marRight w:val="0"/>
      <w:marTop w:val="0"/>
      <w:marBottom w:val="0"/>
      <w:divBdr>
        <w:top w:val="none" w:sz="0" w:space="0" w:color="auto"/>
        <w:left w:val="none" w:sz="0" w:space="0" w:color="auto"/>
        <w:bottom w:val="none" w:sz="0" w:space="0" w:color="auto"/>
        <w:right w:val="none" w:sz="0" w:space="0" w:color="auto"/>
      </w:divBdr>
    </w:div>
    <w:div w:id="1209606282">
      <w:bodyDiv w:val="1"/>
      <w:marLeft w:val="0"/>
      <w:marRight w:val="0"/>
      <w:marTop w:val="0"/>
      <w:marBottom w:val="0"/>
      <w:divBdr>
        <w:top w:val="none" w:sz="0" w:space="0" w:color="auto"/>
        <w:left w:val="none" w:sz="0" w:space="0" w:color="auto"/>
        <w:bottom w:val="none" w:sz="0" w:space="0" w:color="auto"/>
        <w:right w:val="none" w:sz="0" w:space="0" w:color="auto"/>
      </w:divBdr>
    </w:div>
    <w:div w:id="1211455723">
      <w:bodyDiv w:val="1"/>
      <w:marLeft w:val="0"/>
      <w:marRight w:val="0"/>
      <w:marTop w:val="0"/>
      <w:marBottom w:val="0"/>
      <w:divBdr>
        <w:top w:val="none" w:sz="0" w:space="0" w:color="auto"/>
        <w:left w:val="none" w:sz="0" w:space="0" w:color="auto"/>
        <w:bottom w:val="none" w:sz="0" w:space="0" w:color="auto"/>
        <w:right w:val="none" w:sz="0" w:space="0" w:color="auto"/>
      </w:divBdr>
      <w:divsChild>
        <w:div w:id="1683430450">
          <w:marLeft w:val="0"/>
          <w:marRight w:val="0"/>
          <w:marTop w:val="0"/>
          <w:marBottom w:val="0"/>
          <w:divBdr>
            <w:top w:val="none" w:sz="0" w:space="0" w:color="auto"/>
            <w:left w:val="none" w:sz="0" w:space="0" w:color="auto"/>
            <w:bottom w:val="none" w:sz="0" w:space="0" w:color="auto"/>
            <w:right w:val="none" w:sz="0" w:space="0" w:color="auto"/>
          </w:divBdr>
        </w:div>
        <w:div w:id="1066760436">
          <w:marLeft w:val="0"/>
          <w:marRight w:val="0"/>
          <w:marTop w:val="0"/>
          <w:marBottom w:val="0"/>
          <w:divBdr>
            <w:top w:val="none" w:sz="0" w:space="0" w:color="auto"/>
            <w:left w:val="none" w:sz="0" w:space="0" w:color="auto"/>
            <w:bottom w:val="none" w:sz="0" w:space="0" w:color="auto"/>
            <w:right w:val="none" w:sz="0" w:space="0" w:color="auto"/>
          </w:divBdr>
        </w:div>
        <w:div w:id="1540166742">
          <w:marLeft w:val="0"/>
          <w:marRight w:val="0"/>
          <w:marTop w:val="0"/>
          <w:marBottom w:val="0"/>
          <w:divBdr>
            <w:top w:val="none" w:sz="0" w:space="0" w:color="auto"/>
            <w:left w:val="none" w:sz="0" w:space="0" w:color="auto"/>
            <w:bottom w:val="none" w:sz="0" w:space="0" w:color="auto"/>
            <w:right w:val="none" w:sz="0" w:space="0" w:color="auto"/>
          </w:divBdr>
        </w:div>
      </w:divsChild>
    </w:div>
    <w:div w:id="1439984720">
      <w:bodyDiv w:val="1"/>
      <w:marLeft w:val="0"/>
      <w:marRight w:val="0"/>
      <w:marTop w:val="0"/>
      <w:marBottom w:val="0"/>
      <w:divBdr>
        <w:top w:val="none" w:sz="0" w:space="0" w:color="auto"/>
        <w:left w:val="none" w:sz="0" w:space="0" w:color="auto"/>
        <w:bottom w:val="none" w:sz="0" w:space="0" w:color="auto"/>
        <w:right w:val="none" w:sz="0" w:space="0" w:color="auto"/>
      </w:divBdr>
    </w:div>
    <w:div w:id="1494756674">
      <w:bodyDiv w:val="1"/>
      <w:marLeft w:val="0"/>
      <w:marRight w:val="0"/>
      <w:marTop w:val="0"/>
      <w:marBottom w:val="0"/>
      <w:divBdr>
        <w:top w:val="none" w:sz="0" w:space="0" w:color="auto"/>
        <w:left w:val="none" w:sz="0" w:space="0" w:color="auto"/>
        <w:bottom w:val="none" w:sz="0" w:space="0" w:color="auto"/>
        <w:right w:val="none" w:sz="0" w:space="0" w:color="auto"/>
      </w:divBdr>
    </w:div>
    <w:div w:id="1813018203">
      <w:bodyDiv w:val="1"/>
      <w:marLeft w:val="0"/>
      <w:marRight w:val="0"/>
      <w:marTop w:val="0"/>
      <w:marBottom w:val="0"/>
      <w:divBdr>
        <w:top w:val="none" w:sz="0" w:space="0" w:color="auto"/>
        <w:left w:val="none" w:sz="0" w:space="0" w:color="auto"/>
        <w:bottom w:val="none" w:sz="0" w:space="0" w:color="auto"/>
        <w:right w:val="none" w:sz="0" w:space="0" w:color="auto"/>
      </w:divBdr>
      <w:divsChild>
        <w:div w:id="1766998177">
          <w:marLeft w:val="480"/>
          <w:marRight w:val="0"/>
          <w:marTop w:val="0"/>
          <w:marBottom w:val="0"/>
          <w:divBdr>
            <w:top w:val="none" w:sz="0" w:space="0" w:color="auto"/>
            <w:left w:val="none" w:sz="0" w:space="0" w:color="auto"/>
            <w:bottom w:val="none" w:sz="0" w:space="0" w:color="auto"/>
            <w:right w:val="none" w:sz="0" w:space="0" w:color="auto"/>
          </w:divBdr>
          <w:divsChild>
            <w:div w:id="380129277">
              <w:marLeft w:val="0"/>
              <w:marRight w:val="0"/>
              <w:marTop w:val="0"/>
              <w:marBottom w:val="240"/>
              <w:divBdr>
                <w:top w:val="none" w:sz="0" w:space="0" w:color="auto"/>
                <w:left w:val="none" w:sz="0" w:space="0" w:color="auto"/>
                <w:bottom w:val="none" w:sz="0" w:space="0" w:color="auto"/>
                <w:right w:val="none" w:sz="0" w:space="0" w:color="auto"/>
              </w:divBdr>
            </w:div>
            <w:div w:id="950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47411">
      <w:bodyDiv w:val="1"/>
      <w:marLeft w:val="0"/>
      <w:marRight w:val="0"/>
      <w:marTop w:val="0"/>
      <w:marBottom w:val="0"/>
      <w:divBdr>
        <w:top w:val="none" w:sz="0" w:space="0" w:color="auto"/>
        <w:left w:val="none" w:sz="0" w:space="0" w:color="auto"/>
        <w:bottom w:val="none" w:sz="0" w:space="0" w:color="auto"/>
        <w:right w:val="none" w:sz="0" w:space="0" w:color="auto"/>
      </w:divBdr>
      <w:divsChild>
        <w:div w:id="734596221">
          <w:marLeft w:val="0"/>
          <w:marRight w:val="0"/>
          <w:marTop w:val="0"/>
          <w:marBottom w:val="0"/>
          <w:divBdr>
            <w:top w:val="none" w:sz="0" w:space="0" w:color="auto"/>
            <w:left w:val="none" w:sz="0" w:space="0" w:color="auto"/>
            <w:bottom w:val="none" w:sz="0" w:space="0" w:color="auto"/>
            <w:right w:val="none" w:sz="0" w:space="0" w:color="auto"/>
          </w:divBdr>
        </w:div>
        <w:div w:id="529027140">
          <w:marLeft w:val="0"/>
          <w:marRight w:val="0"/>
          <w:marTop w:val="0"/>
          <w:marBottom w:val="0"/>
          <w:divBdr>
            <w:top w:val="none" w:sz="0" w:space="0" w:color="auto"/>
            <w:left w:val="none" w:sz="0" w:space="0" w:color="auto"/>
            <w:bottom w:val="none" w:sz="0" w:space="0" w:color="auto"/>
            <w:right w:val="none" w:sz="0" w:space="0" w:color="auto"/>
          </w:divBdr>
        </w:div>
        <w:div w:id="1478180424">
          <w:marLeft w:val="0"/>
          <w:marRight w:val="0"/>
          <w:marTop w:val="0"/>
          <w:marBottom w:val="0"/>
          <w:divBdr>
            <w:top w:val="none" w:sz="0" w:space="0" w:color="auto"/>
            <w:left w:val="none" w:sz="0" w:space="0" w:color="auto"/>
            <w:bottom w:val="none" w:sz="0" w:space="0" w:color="auto"/>
            <w:right w:val="none" w:sz="0" w:space="0" w:color="auto"/>
          </w:divBdr>
        </w:div>
        <w:div w:id="1736664547">
          <w:marLeft w:val="0"/>
          <w:marRight w:val="0"/>
          <w:marTop w:val="0"/>
          <w:marBottom w:val="0"/>
          <w:divBdr>
            <w:top w:val="none" w:sz="0" w:space="0" w:color="auto"/>
            <w:left w:val="none" w:sz="0" w:space="0" w:color="auto"/>
            <w:bottom w:val="none" w:sz="0" w:space="0" w:color="auto"/>
            <w:right w:val="none" w:sz="0" w:space="0" w:color="auto"/>
          </w:divBdr>
        </w:div>
        <w:div w:id="1337228718">
          <w:marLeft w:val="0"/>
          <w:marRight w:val="0"/>
          <w:marTop w:val="0"/>
          <w:marBottom w:val="0"/>
          <w:divBdr>
            <w:top w:val="none" w:sz="0" w:space="0" w:color="auto"/>
            <w:left w:val="none" w:sz="0" w:space="0" w:color="auto"/>
            <w:bottom w:val="none" w:sz="0" w:space="0" w:color="auto"/>
            <w:right w:val="none" w:sz="0" w:space="0" w:color="auto"/>
          </w:divBdr>
        </w:div>
        <w:div w:id="586308400">
          <w:marLeft w:val="0"/>
          <w:marRight w:val="0"/>
          <w:marTop w:val="0"/>
          <w:marBottom w:val="0"/>
          <w:divBdr>
            <w:top w:val="none" w:sz="0" w:space="0" w:color="auto"/>
            <w:left w:val="none" w:sz="0" w:space="0" w:color="auto"/>
            <w:bottom w:val="none" w:sz="0" w:space="0" w:color="auto"/>
            <w:right w:val="none" w:sz="0" w:space="0" w:color="auto"/>
          </w:divBdr>
        </w:div>
      </w:divsChild>
    </w:div>
    <w:div w:id="205719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1/ac50033a035" TargetMode="External"/><Relationship Id="rId18" Type="http://schemas.openxmlformats.org/officeDocument/2006/relationships/hyperlink" Target="https://doi.org/10.1002/lno.10270" TargetMode="External"/><Relationship Id="rId26" Type="http://schemas.openxmlformats.org/officeDocument/2006/relationships/hyperlink" Target="https://doi.org/10.4319/lo.1960.5.1.0057" TargetMode="External"/><Relationship Id="rId3" Type="http://schemas.openxmlformats.org/officeDocument/2006/relationships/styles" Target="styles.xml"/><Relationship Id="rId21" Type="http://schemas.openxmlformats.org/officeDocument/2006/relationships/hyperlink" Target="https://www.sfei.org/documents/delta-subreg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11/j.0022-3646.1989.00055.x" TargetMode="External"/><Relationship Id="rId17" Type="http://schemas.openxmlformats.org/officeDocument/2006/relationships/hyperlink" Target="https://doi.org/10.1021/acs.est.5b03518" TargetMode="External"/><Relationship Id="rId25" Type="http://schemas.openxmlformats.org/officeDocument/2006/relationships/hyperlink" Target="https://doi.org/10.25080/Majora-92bf1922-00a" TargetMode="External"/><Relationship Id="rId33" Type="http://schemas.openxmlformats.org/officeDocument/2006/relationships/hyperlink" Target="https://www.usgs.gov/tools/geographic-names-information-system-gnis" TargetMode="External"/><Relationship Id="rId2" Type="http://schemas.openxmlformats.org/officeDocument/2006/relationships/numbering" Target="numbering.xml"/><Relationship Id="rId16" Type="http://schemas.openxmlformats.org/officeDocument/2006/relationships/hyperlink" Target="https://en.eijkelkamp.com/products/sensors-monitoring_uk/fluoroprobe-iii-with-accessories.html" TargetMode="External"/><Relationship Id="rId20" Type="http://schemas.openxmlformats.org/officeDocument/2006/relationships/hyperlink" Target="https://doi.org/10.1046/j.1529-8817.1999.3520403.x" TargetMode="External"/><Relationship Id="rId29" Type="http://schemas.openxmlformats.org/officeDocument/2006/relationships/hyperlink" Target="https://doi.org/10.5942/jawwa.2012.104.00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3/A:1016026607048" TargetMode="External"/><Relationship Id="rId24" Type="http://schemas.openxmlformats.org/officeDocument/2006/relationships/hyperlink" Target="https://doi.org/10.1007/BF00007865" TargetMode="External"/><Relationship Id="rId32" Type="http://schemas.openxmlformats.org/officeDocument/2006/relationships/hyperlink" Target="http://nhd.usgs.gov" TargetMode="External"/><Relationship Id="rId5" Type="http://schemas.openxmlformats.org/officeDocument/2006/relationships/webSettings" Target="webSettings.xml"/><Relationship Id="rId15" Type="http://schemas.openxmlformats.org/officeDocument/2006/relationships/hyperlink" Target="https://doi.org/10.1021/acs.est.6b05745" TargetMode="External"/><Relationship Id="rId23" Type="http://schemas.openxmlformats.org/officeDocument/2006/relationships/hyperlink" Target="https://doi.org/10.15447/sfews.2019v17iss3art2" TargetMode="External"/><Relationship Id="rId28" Type="http://schemas.openxmlformats.org/officeDocument/2006/relationships/hyperlink" Target="https://doi.org/10.3133/tm1D5" TargetMode="External"/><Relationship Id="rId10" Type="http://schemas.openxmlformats.org/officeDocument/2006/relationships/hyperlink" Target="https://doi.org/10.5066/P97ZBPLH" TargetMode="External"/><Relationship Id="rId19" Type="http://schemas.openxmlformats.org/officeDocument/2006/relationships/hyperlink" Target="https://doi.org/10.3133/ofr20181096" TargetMode="External"/><Relationship Id="rId31" Type="http://schemas.openxmlformats.org/officeDocument/2006/relationships/hyperlink" Target="https://doi.org/10.1109/38.20317" TargetMode="External"/><Relationship Id="rId4" Type="http://schemas.openxmlformats.org/officeDocument/2006/relationships/settings" Target="settings.xml"/><Relationship Id="rId9" Type="http://schemas.openxmlformats.org/officeDocument/2006/relationships/hyperlink" Target="https://konadeep.com/" TargetMode="External"/><Relationship Id="rId14" Type="http://schemas.openxmlformats.org/officeDocument/2006/relationships/hyperlink" Target="https://pubs.acs.org/doi/10.1021/es970521v" TargetMode="External"/><Relationship Id="rId22" Type="http://schemas.openxmlformats.org/officeDocument/2006/relationships/hyperlink" Target="https://doi.org/10.5281/zenodo.3946761" TargetMode="External"/><Relationship Id="rId27" Type="http://schemas.openxmlformats.org/officeDocument/2006/relationships/hyperlink" Target="https://doi.org/10.1093/plankt/fbh038" TargetMode="External"/><Relationship Id="rId30" Type="http://schemas.openxmlformats.org/officeDocument/2006/relationships/hyperlink" Target="https://doi.org/10.1016/j.scitotenv.2019.134392"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0BA9C-7036-4188-922C-F41DFCBD1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5484</Words>
  <Characters>31265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Perez, Jeniffer</dc:creator>
  <cp:keywords/>
  <dc:description/>
  <cp:lastModifiedBy>Uebner, Maura Q</cp:lastModifiedBy>
  <cp:revision>4</cp:revision>
  <cp:lastPrinted>2023-04-20T22:15:00Z</cp:lastPrinted>
  <dcterms:created xsi:type="dcterms:W3CDTF">2024-09-17T21:12:00Z</dcterms:created>
  <dcterms:modified xsi:type="dcterms:W3CDTF">2024-09-17T23:21:00Z</dcterms:modified>
</cp:coreProperties>
</file>