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69A2ACBD" w14:textId="3A6310A9" w:rsidR="005F155B" w:rsidRPr="00945337" w:rsidRDefault="0060602A" w:rsidP="00801A9B">
      <w:pPr>
        <w:pStyle w:val="Heading1"/>
        <w:spacing w:line="240" w:lineRule="auto"/>
        <w:rPr>
          <w:rFonts w:asciiTheme="minorHAnsi" w:eastAsiaTheme="minorHAnsi" w:hAnsiTheme="minorHAnsi" w:cstheme="minorBidi"/>
          <w:b/>
          <w:bCs/>
          <w:color w:val="auto"/>
          <w:sz w:val="36"/>
          <w:szCs w:val="36"/>
        </w:rPr>
      </w:pPr>
      <w:bookmarkStart w:id="0" w:name="_Toc34055476"/>
      <w:r w:rsidRPr="0060602A">
        <w:rPr>
          <w:rFonts w:asciiTheme="minorHAnsi" w:eastAsiaTheme="minorHAnsi" w:hAnsiTheme="minorHAnsi" w:cstheme="minorBidi"/>
          <w:b/>
          <w:bCs/>
          <w:color w:val="auto"/>
          <w:sz w:val="36"/>
          <w:szCs w:val="36"/>
        </w:rPr>
        <w:t>Assessing spatial variability of nutrients, phytoplankton, and related water quality constituents in the California Sacramento-San Joaquin Delta related to the 2015 installation of the False River Emergency Drought Barrier: 2015 and 2016 high</w:t>
      </w:r>
      <w:r>
        <w:rPr>
          <w:rFonts w:asciiTheme="minorHAnsi" w:eastAsiaTheme="minorHAnsi" w:hAnsiTheme="minorHAnsi" w:cstheme="minorBidi"/>
          <w:b/>
          <w:bCs/>
          <w:color w:val="auto"/>
          <w:sz w:val="36"/>
          <w:szCs w:val="36"/>
        </w:rPr>
        <w:t>-</w:t>
      </w:r>
      <w:r w:rsidRPr="0060602A">
        <w:rPr>
          <w:rFonts w:asciiTheme="minorHAnsi" w:eastAsiaTheme="minorHAnsi" w:hAnsiTheme="minorHAnsi" w:cstheme="minorBidi"/>
          <w:b/>
          <w:bCs/>
          <w:color w:val="auto"/>
          <w:sz w:val="36"/>
          <w:szCs w:val="36"/>
        </w:rPr>
        <w:t>resolution mapping surveys</w:t>
      </w:r>
    </w:p>
    <w:p w14:paraId="6A9413A1" w14:textId="152C9026" w:rsidR="00AB73DA" w:rsidRPr="00945337" w:rsidRDefault="00AB73DA" w:rsidP="00AB73DA">
      <w:pPr>
        <w:pStyle w:val="Heading1"/>
        <w:rPr>
          <w:b/>
          <w:bCs/>
          <w:color w:val="auto"/>
        </w:rPr>
      </w:pPr>
      <w:r w:rsidRPr="00945337">
        <w:rPr>
          <w:b/>
          <w:bCs/>
          <w:color w:val="auto"/>
        </w:rPr>
        <w:t>Methods</w:t>
      </w:r>
      <w:bookmarkEnd w:id="0"/>
    </w:p>
    <w:p w14:paraId="3D81F904" w14:textId="1D874E74" w:rsidR="005F155B" w:rsidRPr="00945337" w:rsidRDefault="005F155B" w:rsidP="005F155B">
      <w:r w:rsidRPr="00945337">
        <w:t xml:space="preserve">The study is based on the assessment and comparison of several broad-area high-resolution water quality mapping surveys conducted in the western and central Sacramento - San Joaquin Delta </w:t>
      </w:r>
      <w:r w:rsidR="00B511AF" w:rsidRPr="00945337">
        <w:t>on six separate days: August 14, 2015; September 10, 2015; September 14, 2015; October 21, 2015; April 18, 2016; and July 13, 2016</w:t>
      </w:r>
      <w:r w:rsidRPr="00945337">
        <w:t>. The survey consists of several days of high-resolution mapping beginning and ending on the Sacramento River at Rio Vista. Data were collected at high speed to minimize to the extent to which tidal currents obscure nutrient and phytoplankton distributions.</w:t>
      </w:r>
      <w:r w:rsidR="000B414D" w:rsidRPr="00945337">
        <w:t xml:space="preserve"> The purpose of the study was to evaluate the impact of the </w:t>
      </w:r>
      <w:r w:rsidR="00354260">
        <w:t>E</w:t>
      </w:r>
      <w:r w:rsidR="000B414D" w:rsidRPr="00945337">
        <w:t xml:space="preserve">mergency </w:t>
      </w:r>
      <w:r w:rsidR="00354260">
        <w:t>D</w:t>
      </w:r>
      <w:r w:rsidR="000B414D" w:rsidRPr="00945337">
        <w:t xml:space="preserve">rought </w:t>
      </w:r>
      <w:r w:rsidR="00354260">
        <w:t>B</w:t>
      </w:r>
      <w:r w:rsidR="000B414D" w:rsidRPr="00945337">
        <w:t>arrier on water quality and water residence time.</w:t>
      </w:r>
    </w:p>
    <w:p w14:paraId="2CF29EEE" w14:textId="77777777" w:rsidR="00AB73DA" w:rsidRPr="00945337" w:rsidRDefault="00AB73DA" w:rsidP="00874AA0">
      <w:pPr>
        <w:pStyle w:val="Heading2"/>
        <w:spacing w:line="240" w:lineRule="auto"/>
        <w:rPr>
          <w:b/>
          <w:bCs/>
          <w:color w:val="auto"/>
        </w:rPr>
      </w:pPr>
      <w:bookmarkStart w:id="1" w:name="_Toc34055478"/>
      <w:r w:rsidRPr="00945337">
        <w:rPr>
          <w:rStyle w:val="Heading2Char"/>
          <w:b/>
          <w:bCs/>
          <w:color w:val="auto"/>
        </w:rPr>
        <w:t>S</w:t>
      </w:r>
      <w:r w:rsidRPr="00945337">
        <w:rPr>
          <w:b/>
          <w:bCs/>
          <w:color w:val="auto"/>
        </w:rPr>
        <w:t>ampling and analysis</w:t>
      </w:r>
      <w:bookmarkEnd w:id="1"/>
    </w:p>
    <w:p w14:paraId="72C7E820" w14:textId="20C9AB93" w:rsidR="00AB73DA" w:rsidRPr="00945337" w:rsidRDefault="00AB73DA" w:rsidP="00E10D6A">
      <w:pPr>
        <w:pStyle w:val="Heading3"/>
        <w:rPr>
          <w:rFonts w:asciiTheme="minorHAnsi" w:hAnsiTheme="minorHAnsi" w:cstheme="minorHAnsi"/>
          <w:sz w:val="22"/>
          <w:szCs w:val="22"/>
        </w:rPr>
      </w:pPr>
      <w:bookmarkStart w:id="2" w:name="_Toc34055479"/>
      <w:r w:rsidRPr="00945337">
        <w:rPr>
          <w:rFonts w:asciiTheme="minorHAnsi" w:hAnsiTheme="minorHAnsi" w:cstheme="minorHAnsi"/>
          <w:sz w:val="22"/>
          <w:szCs w:val="22"/>
        </w:rPr>
        <w:t>Underway water sampling and onboard analyses:</w:t>
      </w:r>
      <w:bookmarkEnd w:id="2"/>
    </w:p>
    <w:p w14:paraId="73C7E2DE" w14:textId="06799AD4" w:rsidR="005F155B" w:rsidRPr="00945337" w:rsidRDefault="005F155B" w:rsidP="0024583A">
      <w:pPr>
        <w:rPr>
          <w:b/>
          <w:bCs/>
        </w:rPr>
      </w:pPr>
      <w:r w:rsidRPr="00945337">
        <w:t>Surveys were conducted using the USGS R/V Mary Landsteiner</w:t>
      </w:r>
      <w:r w:rsidR="00B511AF" w:rsidRPr="00945337">
        <w:t xml:space="preserve">, </w:t>
      </w:r>
      <w:r w:rsidR="00801A9B" w:rsidRPr="00945337">
        <w:t xml:space="preserve">following the approach described by Fichot </w:t>
      </w:r>
      <w:r w:rsidR="009C1EBE">
        <w:t>and others</w:t>
      </w:r>
      <w:r w:rsidR="00801A9B" w:rsidRPr="00945337">
        <w:t xml:space="preserve"> (2016) and Downing </w:t>
      </w:r>
      <w:r w:rsidR="009C1EBE">
        <w:t>and others</w:t>
      </w:r>
      <w:r w:rsidR="00801A9B" w:rsidRPr="00945337">
        <w:t xml:space="preserve"> (2016).</w:t>
      </w:r>
      <w:r w:rsidRPr="00945337">
        <w:t xml:space="preserve"> On each day data were collected during daylight hours. For analysis, sample water was continuously pumped</w:t>
      </w:r>
      <w:r w:rsidR="00777F1F" w:rsidRPr="00945337">
        <w:t xml:space="preserve"> onto the boat using a SHURflo </w:t>
      </w:r>
      <w:r w:rsidR="00867D96" w:rsidRPr="00945337">
        <w:t>Blaster</w:t>
      </w:r>
      <w:r w:rsidR="00777F1F" w:rsidRPr="00945337">
        <w:t xml:space="preserve"> II pump at a pressure of 45 psi and rate of 3.</w:t>
      </w:r>
      <w:r w:rsidR="00867D96" w:rsidRPr="00945337">
        <w:t>5</w:t>
      </w:r>
      <w:r w:rsidR="00777F1F" w:rsidRPr="00945337">
        <w:t xml:space="preserve"> </w:t>
      </w:r>
      <w:r w:rsidR="00867D96" w:rsidRPr="00945337">
        <w:t>GPM</w:t>
      </w:r>
      <w:r w:rsidR="00777F1F" w:rsidRPr="00945337">
        <w:t xml:space="preserve"> (SHURflo Pentair, London, United Kingdom)</w:t>
      </w:r>
      <w:r w:rsidRPr="00945337">
        <w:t xml:space="preserve"> onto the boat while underway at speeds up to 30 mph (13 m/s) using a pick-up tube mounted at a fixed depth of approximately 1 m below the surface</w:t>
      </w:r>
      <w:r w:rsidR="00EB4D81" w:rsidRPr="00945337">
        <w:t xml:space="preserve"> and </w:t>
      </w:r>
      <w:r w:rsidRPr="00945337">
        <w:t xml:space="preserve">routed through a </w:t>
      </w:r>
      <w:r w:rsidR="00777F1F" w:rsidRPr="00945337">
        <w:t>178 μm in-line strainer (Cole Parmer; EW-29595-47, Vernon Hills, IL)</w:t>
      </w:r>
      <w:r w:rsidR="009866A3" w:rsidRPr="00945337">
        <w:t xml:space="preserve"> </w:t>
      </w:r>
      <w:r w:rsidRPr="00945337">
        <w:t>to remove large debris</w:t>
      </w:r>
      <w:r w:rsidR="00784C09" w:rsidRPr="00945337">
        <w:t xml:space="preserve"> and into a pressure-compensated manifold that maintained system pressure at a proscribed level irrespective of boat speed</w:t>
      </w:r>
      <w:r w:rsidRPr="00945337">
        <w:t xml:space="preserve"> (Downing </w:t>
      </w:r>
      <w:r w:rsidR="009C1EBE">
        <w:t>and others</w:t>
      </w:r>
      <w:r w:rsidRPr="00945337">
        <w:t xml:space="preserve">, 2016). </w:t>
      </w:r>
      <w:r w:rsidR="00784C09" w:rsidRPr="00945337">
        <w:t xml:space="preserve">A 2-stage debubbler was used to remove bubbles that can interfere with optical measurements. Sample water was split into separate flow paths for each analytical flow path, with constant flow rates maintained by metering the discharge line, except for the flow path serving the open split interface, which was metered on the feed line. Flows were continuously monitored for each flow path.  </w:t>
      </w:r>
    </w:p>
    <w:p w14:paraId="1DC4220D" w14:textId="557AFEED" w:rsidR="005F155B" w:rsidRPr="00945337" w:rsidRDefault="00EB4D81" w:rsidP="0024583A">
      <w:r w:rsidRPr="00945337">
        <w:t>The flowpaths directed water to</w:t>
      </w:r>
      <w:r w:rsidR="005F155B" w:rsidRPr="00945337">
        <w:t xml:space="preserve">: (1) </w:t>
      </w:r>
      <w:r w:rsidR="00784C09" w:rsidRPr="00945337">
        <w:t xml:space="preserve">A </w:t>
      </w:r>
      <w:r w:rsidR="005F155B" w:rsidRPr="00945337">
        <w:t>flow-through system consisting of a thermosalinograph that recorded temperature and conductance (Sea-Bird Scientific SB45 (TSG), Belluve, WA); fluorometers that measured fluorescence of chlorophyll-a (fCHLA) and fluorescence of dissolved organic matter (fDOM, WETLabs WETstar (WS), Philomath, OR); a beam transmissometer that recorded transmittance and attenuation (WETLabs model C-Star transmissometer (CStar), Philomath, OR), a nitrate (NO3) analyzer (</w:t>
      </w:r>
      <w:r w:rsidR="006D2D8E" w:rsidRPr="00945337">
        <w:t>ISUS V3</w:t>
      </w:r>
      <w:r w:rsidR="005F155B" w:rsidRPr="00945337">
        <w:t>; Sea-Bird Scientific, Bellevue, WA)</w:t>
      </w:r>
      <w:r w:rsidRPr="00945337">
        <w:t xml:space="preserve"> that then passed water to a </w:t>
      </w:r>
      <w:r w:rsidR="005F155B" w:rsidRPr="00945337">
        <w:t xml:space="preserve">multiparameter water quality sonde (YSI EXO2; Xylem Inc. (EXO), Rye Brook, New York) equipped with sensors to measure </w:t>
      </w:r>
      <w:r w:rsidR="005F155B" w:rsidRPr="00945337">
        <w:lastRenderedPageBreak/>
        <w:t xml:space="preserve">temperature, specific conductance (SpC), turbidity, pH, dissolved oxygen (DO), fDOM and </w:t>
      </w:r>
      <w:r w:rsidRPr="00945337">
        <w:t xml:space="preserve">fCHL. </w:t>
      </w:r>
      <w:r w:rsidR="005F155B" w:rsidRPr="00945337">
        <w:t>(</w:t>
      </w:r>
      <w:r w:rsidRPr="00945337">
        <w:t>2</w:t>
      </w:r>
      <w:r w:rsidR="005F155B" w:rsidRPr="00945337">
        <w:t>) A 0.2 μm pore size filter (Osmonics Memtrex, 25 cm length, 0.2 μm pore size; MNY921EGS; Osmonics, Inc.) leading to an isotopic water sampler (Picarro</w:t>
      </w:r>
      <w:r w:rsidRPr="00945337">
        <w:t xml:space="preserve"> Inc</w:t>
      </w:r>
      <w:r w:rsidR="005F155B" w:rsidRPr="00945337">
        <w:t xml:space="preserve">, </w:t>
      </w:r>
      <w:r w:rsidRPr="00945337">
        <w:t>Sunnyvale</w:t>
      </w:r>
      <w:r w:rsidR="005F155B" w:rsidRPr="00945337">
        <w:t>, CA)</w:t>
      </w:r>
      <w:r w:rsidRPr="00945337">
        <w:t xml:space="preserve">. </w:t>
      </w:r>
    </w:p>
    <w:p w14:paraId="45C61D4C" w14:textId="2E4A4225" w:rsidR="002F0247" w:rsidRPr="00945337" w:rsidRDefault="002F0247" w:rsidP="002F0247">
      <w:pPr>
        <w:ind w:left="-5" w:right="53"/>
      </w:pPr>
      <w:r w:rsidRPr="00945337">
        <w:t>All instrumentation was cleaned, and calibrations were checked prior to each use following the manufacturer's recommendation or as described below. Data for most instruments were recorded at 1-second frequency on a single data logger (CR6, Campbell Scientific, Logan, Utah, United States) together with a timestamp and boat position obtained from a high-resolution global positioning system receiver (16X-HVS, Garmin, Olathe, Kansas). The isotopic water sampler collected and logged data through its native software to an internal computer.</w:t>
      </w:r>
      <w:r w:rsidRPr="00945337">
        <w:rPr>
          <w:rFonts w:ascii="Times New Roman" w:eastAsia="Times New Roman" w:hAnsi="Times New Roman" w:cs="Times New Roman"/>
          <w:sz w:val="27"/>
        </w:rPr>
        <w:t xml:space="preserve"> </w:t>
      </w:r>
      <w:r w:rsidRPr="00945337">
        <w:t xml:space="preserve">All data were displayed in real time, so scientists on board could respond when they observed changes relevant to study objectives, or if issues with flow or instrument performance were noted. Data collected in situ are referred to as high resolution (HR) parameters.  </w:t>
      </w:r>
    </w:p>
    <w:p w14:paraId="7E4BDCDB" w14:textId="0E97DCA0" w:rsidR="00AB73DA" w:rsidRPr="00945337" w:rsidRDefault="00AB73DA" w:rsidP="00AB73DA">
      <w:pPr>
        <w:pStyle w:val="Heading3"/>
        <w:rPr>
          <w:rFonts w:asciiTheme="minorHAnsi" w:hAnsiTheme="minorHAnsi" w:cstheme="minorHAnsi"/>
          <w:sz w:val="22"/>
          <w:szCs w:val="22"/>
        </w:rPr>
      </w:pPr>
      <w:bookmarkStart w:id="3" w:name="_Toc34055480"/>
      <w:r w:rsidRPr="00945337">
        <w:rPr>
          <w:rFonts w:asciiTheme="minorHAnsi" w:hAnsiTheme="minorHAnsi" w:cstheme="minorHAnsi"/>
          <w:sz w:val="22"/>
          <w:szCs w:val="22"/>
        </w:rPr>
        <w:t>Discrete water sampling and laboratory analyses:</w:t>
      </w:r>
      <w:bookmarkEnd w:id="3"/>
    </w:p>
    <w:p w14:paraId="72F7A25D" w14:textId="2CB19919" w:rsidR="005F155B" w:rsidRPr="00945337" w:rsidRDefault="005F155B" w:rsidP="0024583A">
      <w:pPr>
        <w:rPr>
          <w:b/>
          <w:bCs/>
        </w:rPr>
      </w:pPr>
      <w:r w:rsidRPr="00945337">
        <w:t xml:space="preserve">Discrete water samples were collected either underway or–in the case of more extensive sample requirements–while stopped on station. Discrete samples were collected while underway either using </w:t>
      </w:r>
      <w:r w:rsidR="002F0247" w:rsidRPr="00945337">
        <w:t>a fourth</w:t>
      </w:r>
      <w:r w:rsidRPr="00945337">
        <w:t xml:space="preserve"> flow path on the sampling manifold or using a separate system with a separate pick-up tube mounted adjacent to the main sampling pick-up and pumping sample through a 0.</w:t>
      </w:r>
      <w:r w:rsidR="007F61CC" w:rsidRPr="00945337">
        <w:t>2</w:t>
      </w:r>
      <w:r w:rsidRPr="00945337">
        <w:t>-micron filter into a sample bottle. At designated sampling stations (approximately 10 per day) samples for determination of NH4, NO3, PO4, dissolved organic carbon (DOC), and total dissolved nitrogen (TDN) concentrations were collected using this system. Additionally, unfiltered samples were collected approximately from 1 m depth using a submersible pump for analysis of stable water isotopes.</w:t>
      </w:r>
    </w:p>
    <w:p w14:paraId="5F2C3242" w14:textId="4174D26D" w:rsidR="005F155B" w:rsidRPr="00945337" w:rsidRDefault="005F155B" w:rsidP="0024583A">
      <w:pPr>
        <w:rPr>
          <w:b/>
          <w:bCs/>
          <w:shd w:val="clear" w:color="auto" w:fill="FFFFFF"/>
        </w:rPr>
      </w:pPr>
      <w:r w:rsidRPr="00945337">
        <w:rPr>
          <w:shd w:val="clear" w:color="auto" w:fill="FFFFFF"/>
        </w:rPr>
        <w:t>All samples were stored on ice in the dark during transit to the laboratory where they were stored at 2°C. Dissolved organic carbon samples were preserved to &lt;2 pH with high-purity sul</w:t>
      </w:r>
      <w:r w:rsidR="00994B00">
        <w:rPr>
          <w:shd w:val="clear" w:color="auto" w:fill="FFFFFF"/>
        </w:rPr>
        <w:t>f</w:t>
      </w:r>
      <w:r w:rsidRPr="00945337">
        <w:rPr>
          <w:shd w:val="clear" w:color="auto" w:fill="FFFFFF"/>
        </w:rPr>
        <w:t xml:space="preserve">uric acid the day following collection and stored at 2°C. </w:t>
      </w:r>
    </w:p>
    <w:p w14:paraId="6349689A" w14:textId="77777777" w:rsidR="00013BBC" w:rsidRPr="00945337" w:rsidRDefault="005F155B" w:rsidP="0024583A">
      <w:pPr>
        <w:rPr>
          <w:shd w:val="clear" w:color="auto" w:fill="FFFFFF"/>
        </w:rPr>
      </w:pPr>
      <w:r w:rsidRPr="00945337">
        <w:rPr>
          <w:shd w:val="clear" w:color="auto" w:fill="FFFFFF"/>
        </w:rPr>
        <w:t xml:space="preserve">Concentrations of nutrients were determined colorimetrically using an automated-segmented flow analyzer. Concentrations of nitrogen as nitrite (NO2-N) and as nitrate plus nitrite (NO3-N + NO2-N) were determined by colorimetric analysis (Fishman, 1993; Patton and Kryskalla, 2011), ammonium as nitrogen (NH4-N) was determined by colorimetric analysis after reaction with salicylate-hypochlorite (Fishman, 1993), and total dissolved nitrogen (TDN) was determined by alkaline persulfate digestion (Patton and Kryskalla 2003). Orthophosphate as phosphorous (PO4-P; also referred to as soluble reactive phosphate) was determined by colorimetric analysis after reaction with NH4 molybdate and reduction with ascorbic acid (Patton and Truitt, 1992). </w:t>
      </w:r>
    </w:p>
    <w:p w14:paraId="430D7A39" w14:textId="067C8695" w:rsidR="005F155B" w:rsidRPr="00945337" w:rsidRDefault="005F155B" w:rsidP="0024583A">
      <w:pPr>
        <w:rPr>
          <w:b/>
          <w:bCs/>
          <w:shd w:val="clear" w:color="auto" w:fill="FFFFFF"/>
        </w:rPr>
      </w:pPr>
      <w:r w:rsidRPr="00945337">
        <w:rPr>
          <w:shd w:val="clear" w:color="auto" w:fill="FFFFFF"/>
        </w:rPr>
        <w:t xml:space="preserve">Dissolved organic carbon concentrations were measured using a total organic carbon analyzer (TOC-VCSH, Shimadzu Scientific Instruments, Columbia, Maryland) using high-temperature catalytic combustion according to a modified version of USEPA method 415.3 (Potter and Wimsatt, </w:t>
      </w:r>
      <w:r w:rsidR="002E6373" w:rsidRPr="00945337">
        <w:rPr>
          <w:shd w:val="clear" w:color="auto" w:fill="FFFFFF"/>
        </w:rPr>
        <w:t>2012</w:t>
      </w:r>
      <w:r w:rsidRPr="00945337">
        <w:rPr>
          <w:shd w:val="clear" w:color="auto" w:fill="FFFFFF"/>
        </w:rPr>
        <w:t xml:space="preserve">). Absorbance spectra and fluorescence EEMs were simultaneously measured using an Aqualog® equipped with a photodiode and charge-coupled device (CCD) (Horiba Instruments, NJ, USA) according to the method described by Hansen </w:t>
      </w:r>
      <w:r w:rsidR="009C1EBE">
        <w:rPr>
          <w:shd w:val="clear" w:color="auto" w:fill="FFFFFF"/>
        </w:rPr>
        <w:t>and others</w:t>
      </w:r>
      <w:r w:rsidRPr="00945337">
        <w:rPr>
          <w:shd w:val="clear" w:color="auto" w:fill="FFFFFF"/>
        </w:rPr>
        <w:t xml:space="preserve"> (2018). Briefly, excitation and absorbance spectra were measured using a 150 W xenon lamp, a 5 nm bandpass, and a 1 s integration time at wavelengths of 240–600 nm. Emission spectra were collected with a CCD at approximately 1.64 nm (4 pixel) intervals at </w:t>
      </w:r>
      <w:r w:rsidRPr="00945337">
        <w:rPr>
          <w:shd w:val="clear" w:color="auto" w:fill="FFFFFF"/>
        </w:rPr>
        <w:lastRenderedPageBreak/>
        <w:t xml:space="preserve">wavelengths of 250–600 nm. To reduce ultraviolet light exposure of the sample and limit the effects of photobleaching, excitation and absorbance wavelengths were scanned from low to high energy (i.e., visible to ultraviolet range) during analysis. Peaks, ratios, and slopes reported in the data were calculated as described by Hansen </w:t>
      </w:r>
      <w:r w:rsidR="009C1EBE">
        <w:rPr>
          <w:shd w:val="clear" w:color="auto" w:fill="FFFFFF"/>
        </w:rPr>
        <w:t>and others</w:t>
      </w:r>
      <w:r w:rsidRPr="00945337">
        <w:rPr>
          <w:shd w:val="clear" w:color="auto" w:fill="FFFFFF"/>
        </w:rPr>
        <w:t xml:space="preserve"> (2016).</w:t>
      </w:r>
      <w:r w:rsidR="00B569E6" w:rsidRPr="00945337">
        <w:rPr>
          <w:shd w:val="clear" w:color="auto" w:fill="FFFFFF"/>
        </w:rPr>
        <w:t xml:space="preserve"> </w:t>
      </w:r>
    </w:p>
    <w:p w14:paraId="5D2628E5" w14:textId="64604DE6" w:rsidR="00472120" w:rsidRPr="00945337" w:rsidRDefault="00AB73DA" w:rsidP="0099113F">
      <w:pPr>
        <w:pStyle w:val="Heading2"/>
        <w:rPr>
          <w:color w:val="auto"/>
        </w:rPr>
      </w:pPr>
      <w:bookmarkStart w:id="4" w:name="_Toc34055481"/>
      <w:r w:rsidRPr="00945337">
        <w:rPr>
          <w:color w:val="auto"/>
        </w:rPr>
        <w:t>Data processing</w:t>
      </w:r>
      <w:bookmarkEnd w:id="4"/>
    </w:p>
    <w:p w14:paraId="5D996BA9" w14:textId="39B97D42" w:rsidR="005F155B" w:rsidRPr="00945337" w:rsidRDefault="002B2F24" w:rsidP="005F155B">
      <w:r w:rsidRPr="00945337">
        <w:t xml:space="preserve">Data from onboard continuous instruments not directly logged to the flow-through data collection system were merged based on timestamp to the nearest second. </w:t>
      </w:r>
      <w:r w:rsidR="005F155B" w:rsidRPr="00945337">
        <w:t>All data directly logged to the flow-through data collection system was processed using pandas software library (0.220</w:t>
      </w:r>
      <w:r w:rsidR="00777F1F" w:rsidRPr="00945337">
        <w:t>; McKinney, 2010</w:t>
      </w:r>
      <w:r w:rsidR="005F155B" w:rsidRPr="00945337">
        <w:t>) in Python (3.7.3</w:t>
      </w:r>
      <w:r w:rsidR="00777F1F" w:rsidRPr="00945337">
        <w:t>; Van Rossum and Drake, 2009</w:t>
      </w:r>
      <w:r w:rsidR="005F155B" w:rsidRPr="00945337">
        <w:t xml:space="preserve">) to remove periods of compromised data (e.g. flow blockages, bubbles), to apply instrument corrections and unit conversions, and to apply a centered 20 second median filter to the time series. Final NO3 values were obtained by regressing </w:t>
      </w:r>
      <w:r w:rsidR="00992417" w:rsidRPr="00945337">
        <w:t xml:space="preserve">ISUS </w:t>
      </w:r>
      <w:r w:rsidR="005F155B" w:rsidRPr="00945337">
        <w:t>instrument response against NO3 concentrations obtained from laboratory measurements of discrete samples collected through the course of the day. Individual sample results with more than three standard deviations from the regression were judged to be outliers and removed from the regression</w:t>
      </w:r>
      <w:r w:rsidR="00837430" w:rsidRPr="00945337">
        <w:rPr>
          <w:rFonts w:ascii="Calibri" w:eastAsia="Calibri" w:hAnsi="Calibri" w:cs="Calibri"/>
          <w:color w:val="000000"/>
          <w:sz w:val="24"/>
        </w:rPr>
        <w:t xml:space="preserve"> </w:t>
      </w:r>
      <w:r w:rsidR="00837430" w:rsidRPr="00945337">
        <w:t xml:space="preserve">(Pellerin </w:t>
      </w:r>
      <w:r w:rsidR="009C1EBE">
        <w:t>and others</w:t>
      </w:r>
      <w:r w:rsidR="00994B00">
        <w:t>,</w:t>
      </w:r>
      <w:r w:rsidR="00837430" w:rsidRPr="00945337">
        <w:t xml:space="preserve"> 2013)</w:t>
      </w:r>
      <w:r w:rsidR="005F155B" w:rsidRPr="00945337">
        <w:t>.</w:t>
      </w:r>
    </w:p>
    <w:p w14:paraId="78D65D92" w14:textId="1AC90E3E" w:rsidR="005F155B" w:rsidRPr="00945337" w:rsidRDefault="005F155B" w:rsidP="005F155B">
      <w:r w:rsidRPr="00945337">
        <w:t xml:space="preserve">Larger differences between ISUS and laboratory NO3 concentration data are assumed to arise from 1) actual spatial heterogeneity in environmental NO3 concentrations between water entering the flow through system and that captured in the sample bottle, 2) interferences of turbidity and dissolved organic matter using the UV absorption method for nitrate, or 3) errors in sample handling and laboratory analysis. Excepting these potential sources of error, the field and laboratory NO3 measurements are typically well correlated with a linear fit. For the simple linear regressions, the ISUS NO3 concentration data was the explanatory variable to compute the response variable of the laboratory NO3 concentration. P-values were &lt;0.0001 for all regressions. Summary statistics and </w:t>
      </w:r>
      <w:r w:rsidR="00B569E6" w:rsidRPr="00945337">
        <w:t xml:space="preserve">the nitrate </w:t>
      </w:r>
      <w:r w:rsidRPr="00945337">
        <w:t>regression</w:t>
      </w:r>
      <w:r w:rsidR="00B569E6" w:rsidRPr="00945337">
        <w:t xml:space="preserve"> </w:t>
      </w:r>
      <w:r w:rsidRPr="00945337">
        <w:t xml:space="preserve">are identified in Table </w:t>
      </w:r>
      <w:r w:rsidR="00F42657" w:rsidRPr="00945337">
        <w:t>1</w:t>
      </w:r>
      <w:r w:rsidRPr="00945337">
        <w:t>.</w:t>
      </w:r>
    </w:p>
    <w:p w14:paraId="5B063515" w14:textId="7D3BED80" w:rsidR="005F155B" w:rsidRPr="00945337" w:rsidRDefault="005F155B" w:rsidP="005F155B">
      <w:r w:rsidRPr="00945337">
        <w:rPr>
          <w:b/>
          <w:bCs/>
        </w:rPr>
        <w:t xml:space="preserve">Table </w:t>
      </w:r>
      <w:r w:rsidR="00566944" w:rsidRPr="00945337">
        <w:rPr>
          <w:b/>
          <w:bCs/>
        </w:rPr>
        <w:t>1</w:t>
      </w:r>
      <w:r w:rsidRPr="00945337">
        <w:rPr>
          <w:b/>
          <w:bCs/>
        </w:rPr>
        <w:t>.</w:t>
      </w:r>
      <w:r w:rsidRPr="00945337">
        <w:t xml:space="preserve"> Summary statistics and linear regressions for nitrate (NO3) concentration data obtained from high-resolution ISUS instrument and discrete samples analyzed using standard laboratory methods [n, number of observations; µM, micromolar; mean, mean high-resolution nitrate concentration; median, median high-resolution nitrate concentration; min, minimum high-resolution nitrate concentration; max, maximum high-resolution nitrate concentration; SS, sum of squared error; SSE, sum of squared estimate of error; MSE, mean square error; RMSE, root mean square error; %, percent; MSPE, model standard percentage error; R2, coefficient of determination; *, asterisk indicates adjusted R2].</w:t>
      </w:r>
    </w:p>
    <w:tbl>
      <w:tblPr>
        <w:tblStyle w:val="TableGrid"/>
        <w:tblpPr w:leftFromText="180" w:rightFromText="180" w:vertAnchor="text" w:horzAnchor="margin" w:tblpXSpec="center" w:tblpY="142"/>
        <w:tblW w:w="10487" w:type="dxa"/>
        <w:tblLook w:val="04A0" w:firstRow="1" w:lastRow="0" w:firstColumn="1" w:lastColumn="0" w:noHBand="0" w:noVBand="1"/>
      </w:tblPr>
      <w:tblGrid>
        <w:gridCol w:w="1077"/>
        <w:gridCol w:w="580"/>
        <w:gridCol w:w="619"/>
        <w:gridCol w:w="672"/>
        <w:gridCol w:w="828"/>
        <w:gridCol w:w="677"/>
        <w:gridCol w:w="723"/>
        <w:gridCol w:w="619"/>
        <w:gridCol w:w="619"/>
        <w:gridCol w:w="686"/>
        <w:gridCol w:w="680"/>
        <w:gridCol w:w="1062"/>
        <w:gridCol w:w="873"/>
        <w:gridCol w:w="772"/>
      </w:tblGrid>
      <w:tr w:rsidR="00681BA1" w:rsidRPr="00945337" w14:paraId="02A7D76A" w14:textId="77777777" w:rsidTr="00016E88">
        <w:trPr>
          <w:trHeight w:val="329"/>
        </w:trPr>
        <w:tc>
          <w:tcPr>
            <w:tcW w:w="1077" w:type="dxa"/>
            <w:noWrap/>
            <w:hideMark/>
          </w:tcPr>
          <w:p w14:paraId="182BF325" w14:textId="77777777" w:rsidR="00681BA1" w:rsidRPr="00945337" w:rsidRDefault="00681BA1" w:rsidP="00681BA1">
            <w:pPr>
              <w:rPr>
                <w:sz w:val="20"/>
                <w:szCs w:val="20"/>
              </w:rPr>
            </w:pPr>
            <w:r w:rsidRPr="00945337">
              <w:rPr>
                <w:sz w:val="20"/>
                <w:szCs w:val="20"/>
              </w:rPr>
              <w:t>Parameter</w:t>
            </w:r>
          </w:p>
        </w:tc>
        <w:tc>
          <w:tcPr>
            <w:tcW w:w="580" w:type="dxa"/>
            <w:hideMark/>
          </w:tcPr>
          <w:p w14:paraId="691B83D1" w14:textId="77777777" w:rsidR="00681BA1" w:rsidRPr="00945337" w:rsidRDefault="00681BA1" w:rsidP="00681BA1">
            <w:pPr>
              <w:rPr>
                <w:sz w:val="20"/>
                <w:szCs w:val="20"/>
              </w:rPr>
            </w:pPr>
            <w:r w:rsidRPr="00945337">
              <w:rPr>
                <w:sz w:val="20"/>
                <w:szCs w:val="20"/>
              </w:rPr>
              <w:t>n</w:t>
            </w:r>
          </w:p>
        </w:tc>
        <w:tc>
          <w:tcPr>
            <w:tcW w:w="619" w:type="dxa"/>
            <w:hideMark/>
          </w:tcPr>
          <w:p w14:paraId="5F9CDDAA" w14:textId="77777777" w:rsidR="00681BA1" w:rsidRPr="00945337" w:rsidRDefault="00681BA1" w:rsidP="00681BA1">
            <w:pPr>
              <w:rPr>
                <w:sz w:val="20"/>
                <w:szCs w:val="20"/>
              </w:rPr>
            </w:pPr>
            <w:r w:rsidRPr="00945337">
              <w:rPr>
                <w:sz w:val="20"/>
                <w:szCs w:val="20"/>
              </w:rPr>
              <w:t>min  (µM)</w:t>
            </w:r>
          </w:p>
        </w:tc>
        <w:tc>
          <w:tcPr>
            <w:tcW w:w="672" w:type="dxa"/>
            <w:hideMark/>
          </w:tcPr>
          <w:p w14:paraId="1FF09C73" w14:textId="77777777" w:rsidR="00681BA1" w:rsidRPr="00945337" w:rsidRDefault="00681BA1" w:rsidP="00681BA1">
            <w:pPr>
              <w:rPr>
                <w:sz w:val="20"/>
                <w:szCs w:val="20"/>
              </w:rPr>
            </w:pPr>
            <w:r w:rsidRPr="00945337">
              <w:rPr>
                <w:sz w:val="20"/>
                <w:szCs w:val="20"/>
              </w:rPr>
              <w:t>max  (µM)</w:t>
            </w:r>
          </w:p>
        </w:tc>
        <w:tc>
          <w:tcPr>
            <w:tcW w:w="828" w:type="dxa"/>
            <w:hideMark/>
          </w:tcPr>
          <w:p w14:paraId="6CAEAB83" w14:textId="77777777" w:rsidR="00681BA1" w:rsidRPr="00945337" w:rsidRDefault="00681BA1" w:rsidP="00681BA1">
            <w:pPr>
              <w:rPr>
                <w:sz w:val="20"/>
                <w:szCs w:val="20"/>
              </w:rPr>
            </w:pPr>
            <w:r w:rsidRPr="00945337">
              <w:rPr>
                <w:sz w:val="20"/>
                <w:szCs w:val="20"/>
              </w:rPr>
              <w:t>median  (µM)</w:t>
            </w:r>
          </w:p>
        </w:tc>
        <w:tc>
          <w:tcPr>
            <w:tcW w:w="677" w:type="dxa"/>
            <w:hideMark/>
          </w:tcPr>
          <w:p w14:paraId="03F6A23A" w14:textId="77777777" w:rsidR="00681BA1" w:rsidRPr="00945337" w:rsidRDefault="00681BA1" w:rsidP="00681BA1">
            <w:pPr>
              <w:rPr>
                <w:sz w:val="20"/>
                <w:szCs w:val="20"/>
              </w:rPr>
            </w:pPr>
            <w:r w:rsidRPr="00945337">
              <w:rPr>
                <w:sz w:val="20"/>
                <w:szCs w:val="20"/>
              </w:rPr>
              <w:t>mean (µM)</w:t>
            </w:r>
          </w:p>
        </w:tc>
        <w:tc>
          <w:tcPr>
            <w:tcW w:w="723" w:type="dxa"/>
            <w:hideMark/>
          </w:tcPr>
          <w:p w14:paraId="27BA3242" w14:textId="77777777" w:rsidR="00681BA1" w:rsidRPr="00945337" w:rsidRDefault="00681BA1" w:rsidP="00681BA1">
            <w:pPr>
              <w:rPr>
                <w:sz w:val="20"/>
                <w:szCs w:val="20"/>
              </w:rPr>
            </w:pPr>
            <w:r w:rsidRPr="00945337">
              <w:rPr>
                <w:sz w:val="20"/>
                <w:szCs w:val="20"/>
              </w:rPr>
              <w:t>SS (µM)</w:t>
            </w:r>
          </w:p>
        </w:tc>
        <w:tc>
          <w:tcPr>
            <w:tcW w:w="619" w:type="dxa"/>
            <w:hideMark/>
          </w:tcPr>
          <w:p w14:paraId="2D26E7BE" w14:textId="77777777" w:rsidR="00681BA1" w:rsidRPr="00945337" w:rsidRDefault="00681BA1" w:rsidP="00681BA1">
            <w:pPr>
              <w:rPr>
                <w:sz w:val="20"/>
                <w:szCs w:val="20"/>
              </w:rPr>
            </w:pPr>
            <w:r w:rsidRPr="00945337">
              <w:rPr>
                <w:sz w:val="20"/>
                <w:szCs w:val="20"/>
              </w:rPr>
              <w:t>SSE (µM)</w:t>
            </w:r>
          </w:p>
        </w:tc>
        <w:tc>
          <w:tcPr>
            <w:tcW w:w="619" w:type="dxa"/>
            <w:hideMark/>
          </w:tcPr>
          <w:p w14:paraId="48952EBA" w14:textId="77777777" w:rsidR="00681BA1" w:rsidRPr="00945337" w:rsidRDefault="00681BA1" w:rsidP="00681BA1">
            <w:pPr>
              <w:rPr>
                <w:sz w:val="20"/>
                <w:szCs w:val="20"/>
              </w:rPr>
            </w:pPr>
            <w:r w:rsidRPr="00945337">
              <w:rPr>
                <w:sz w:val="20"/>
                <w:szCs w:val="20"/>
              </w:rPr>
              <w:t>MSE (µM)</w:t>
            </w:r>
          </w:p>
        </w:tc>
        <w:tc>
          <w:tcPr>
            <w:tcW w:w="686" w:type="dxa"/>
            <w:hideMark/>
          </w:tcPr>
          <w:p w14:paraId="1E2E7315" w14:textId="77777777" w:rsidR="00681BA1" w:rsidRPr="00945337" w:rsidRDefault="00681BA1" w:rsidP="00681BA1">
            <w:pPr>
              <w:rPr>
                <w:sz w:val="20"/>
                <w:szCs w:val="20"/>
              </w:rPr>
            </w:pPr>
            <w:r w:rsidRPr="00945337">
              <w:rPr>
                <w:sz w:val="20"/>
                <w:szCs w:val="20"/>
              </w:rPr>
              <w:t>RMSE (µM)</w:t>
            </w:r>
          </w:p>
        </w:tc>
        <w:tc>
          <w:tcPr>
            <w:tcW w:w="680" w:type="dxa"/>
            <w:hideMark/>
          </w:tcPr>
          <w:p w14:paraId="7701BA7A" w14:textId="77777777" w:rsidR="00681BA1" w:rsidRPr="00945337" w:rsidRDefault="00681BA1" w:rsidP="00681BA1">
            <w:pPr>
              <w:rPr>
                <w:sz w:val="20"/>
                <w:szCs w:val="20"/>
              </w:rPr>
            </w:pPr>
            <w:r w:rsidRPr="00945337">
              <w:rPr>
                <w:sz w:val="20"/>
                <w:szCs w:val="20"/>
              </w:rPr>
              <w:t>MSPE (%)</w:t>
            </w:r>
          </w:p>
        </w:tc>
        <w:tc>
          <w:tcPr>
            <w:tcW w:w="1062" w:type="dxa"/>
            <w:hideMark/>
          </w:tcPr>
          <w:p w14:paraId="185BCFF6" w14:textId="77777777" w:rsidR="00681BA1" w:rsidRPr="00945337" w:rsidRDefault="00681BA1" w:rsidP="00681BA1">
            <w:pPr>
              <w:rPr>
                <w:sz w:val="20"/>
                <w:szCs w:val="20"/>
              </w:rPr>
            </w:pPr>
            <w:r w:rsidRPr="00945337">
              <w:rPr>
                <w:sz w:val="20"/>
                <w:szCs w:val="20"/>
              </w:rPr>
              <w:t>regression equation</w:t>
            </w:r>
          </w:p>
        </w:tc>
        <w:tc>
          <w:tcPr>
            <w:tcW w:w="873" w:type="dxa"/>
            <w:hideMark/>
          </w:tcPr>
          <w:p w14:paraId="1545CABD" w14:textId="77777777" w:rsidR="00681BA1" w:rsidRPr="00945337" w:rsidRDefault="00681BA1" w:rsidP="00681BA1">
            <w:pPr>
              <w:rPr>
                <w:sz w:val="20"/>
                <w:szCs w:val="20"/>
              </w:rPr>
            </w:pPr>
            <w:r w:rsidRPr="00945337">
              <w:rPr>
                <w:sz w:val="20"/>
                <w:szCs w:val="20"/>
              </w:rPr>
              <w:t>p-value</w:t>
            </w:r>
          </w:p>
        </w:tc>
        <w:tc>
          <w:tcPr>
            <w:tcW w:w="772" w:type="dxa"/>
            <w:hideMark/>
          </w:tcPr>
          <w:p w14:paraId="317F7B3E" w14:textId="77777777" w:rsidR="00681BA1" w:rsidRPr="00945337" w:rsidRDefault="00681BA1" w:rsidP="00681BA1">
            <w:pPr>
              <w:rPr>
                <w:sz w:val="20"/>
                <w:szCs w:val="20"/>
              </w:rPr>
            </w:pPr>
            <w:r w:rsidRPr="00945337">
              <w:rPr>
                <w:sz w:val="20"/>
                <w:szCs w:val="20"/>
              </w:rPr>
              <w:t>R</w:t>
            </w:r>
            <w:r w:rsidRPr="00945337">
              <w:rPr>
                <w:sz w:val="20"/>
                <w:szCs w:val="20"/>
                <w:vertAlign w:val="superscript"/>
              </w:rPr>
              <w:t>2</w:t>
            </w:r>
          </w:p>
        </w:tc>
      </w:tr>
      <w:tr w:rsidR="00681BA1" w:rsidRPr="00945337" w14:paraId="4929D84D" w14:textId="77777777" w:rsidTr="00016E88">
        <w:trPr>
          <w:trHeight w:val="164"/>
        </w:trPr>
        <w:tc>
          <w:tcPr>
            <w:tcW w:w="1077" w:type="dxa"/>
            <w:noWrap/>
            <w:hideMark/>
          </w:tcPr>
          <w:p w14:paraId="7BFFA178" w14:textId="77777777" w:rsidR="00681BA1" w:rsidRPr="00945337" w:rsidRDefault="00681BA1" w:rsidP="00681BA1">
            <w:pPr>
              <w:rPr>
                <w:sz w:val="20"/>
                <w:szCs w:val="20"/>
              </w:rPr>
            </w:pPr>
            <w:r w:rsidRPr="00945337">
              <w:rPr>
                <w:sz w:val="20"/>
                <w:szCs w:val="20"/>
              </w:rPr>
              <w:t>NO3 (ISUS)</w:t>
            </w:r>
          </w:p>
        </w:tc>
        <w:tc>
          <w:tcPr>
            <w:tcW w:w="580" w:type="dxa"/>
            <w:noWrap/>
            <w:hideMark/>
          </w:tcPr>
          <w:p w14:paraId="18E27FFF" w14:textId="77777777" w:rsidR="00681BA1" w:rsidRPr="00945337" w:rsidRDefault="00681BA1" w:rsidP="00016E88">
            <w:pPr>
              <w:jc w:val="center"/>
              <w:rPr>
                <w:sz w:val="20"/>
                <w:szCs w:val="20"/>
              </w:rPr>
            </w:pPr>
            <w:r w:rsidRPr="00945337">
              <w:rPr>
                <w:sz w:val="20"/>
                <w:szCs w:val="20"/>
              </w:rPr>
              <w:t>177</w:t>
            </w:r>
          </w:p>
        </w:tc>
        <w:tc>
          <w:tcPr>
            <w:tcW w:w="619" w:type="dxa"/>
            <w:noWrap/>
            <w:hideMark/>
          </w:tcPr>
          <w:p w14:paraId="4455065E" w14:textId="77777777" w:rsidR="00681BA1" w:rsidRPr="00945337" w:rsidRDefault="00681BA1" w:rsidP="00016E88">
            <w:pPr>
              <w:jc w:val="center"/>
              <w:rPr>
                <w:sz w:val="20"/>
                <w:szCs w:val="20"/>
              </w:rPr>
            </w:pPr>
            <w:r w:rsidRPr="00945337">
              <w:rPr>
                <w:sz w:val="20"/>
                <w:szCs w:val="20"/>
              </w:rPr>
              <w:t>0.2</w:t>
            </w:r>
          </w:p>
        </w:tc>
        <w:tc>
          <w:tcPr>
            <w:tcW w:w="672" w:type="dxa"/>
            <w:noWrap/>
            <w:hideMark/>
          </w:tcPr>
          <w:p w14:paraId="0CE22EDA" w14:textId="77777777" w:rsidR="00681BA1" w:rsidRPr="00945337" w:rsidRDefault="00681BA1" w:rsidP="00016E88">
            <w:pPr>
              <w:jc w:val="center"/>
              <w:rPr>
                <w:sz w:val="20"/>
                <w:szCs w:val="20"/>
              </w:rPr>
            </w:pPr>
            <w:r w:rsidRPr="00945337">
              <w:rPr>
                <w:sz w:val="20"/>
                <w:szCs w:val="20"/>
              </w:rPr>
              <w:t>196.8</w:t>
            </w:r>
          </w:p>
        </w:tc>
        <w:tc>
          <w:tcPr>
            <w:tcW w:w="828" w:type="dxa"/>
            <w:noWrap/>
            <w:hideMark/>
          </w:tcPr>
          <w:p w14:paraId="5C2C077B" w14:textId="77777777" w:rsidR="00681BA1" w:rsidRPr="00945337" w:rsidRDefault="00681BA1" w:rsidP="00016E88">
            <w:pPr>
              <w:jc w:val="center"/>
              <w:rPr>
                <w:sz w:val="20"/>
                <w:szCs w:val="20"/>
              </w:rPr>
            </w:pPr>
            <w:r w:rsidRPr="00945337">
              <w:rPr>
                <w:sz w:val="20"/>
                <w:szCs w:val="20"/>
              </w:rPr>
              <w:t>17.6</w:t>
            </w:r>
          </w:p>
        </w:tc>
        <w:tc>
          <w:tcPr>
            <w:tcW w:w="677" w:type="dxa"/>
            <w:noWrap/>
            <w:hideMark/>
          </w:tcPr>
          <w:p w14:paraId="2027F2EB" w14:textId="77777777" w:rsidR="00681BA1" w:rsidRPr="00945337" w:rsidRDefault="00681BA1" w:rsidP="00016E88">
            <w:pPr>
              <w:jc w:val="center"/>
              <w:rPr>
                <w:sz w:val="20"/>
                <w:szCs w:val="20"/>
              </w:rPr>
            </w:pPr>
            <w:r w:rsidRPr="00945337">
              <w:rPr>
                <w:sz w:val="20"/>
                <w:szCs w:val="20"/>
              </w:rPr>
              <w:t>21.4</w:t>
            </w:r>
          </w:p>
        </w:tc>
        <w:tc>
          <w:tcPr>
            <w:tcW w:w="723" w:type="dxa"/>
            <w:noWrap/>
            <w:hideMark/>
          </w:tcPr>
          <w:p w14:paraId="379EF72A" w14:textId="77777777" w:rsidR="00681BA1" w:rsidRPr="00945337" w:rsidRDefault="00681BA1" w:rsidP="00016E88">
            <w:pPr>
              <w:jc w:val="center"/>
              <w:rPr>
                <w:sz w:val="20"/>
                <w:szCs w:val="20"/>
              </w:rPr>
            </w:pPr>
            <w:r w:rsidRPr="00945337">
              <w:rPr>
                <w:sz w:val="20"/>
                <w:szCs w:val="20"/>
              </w:rPr>
              <w:t>87608</w:t>
            </w:r>
          </w:p>
        </w:tc>
        <w:tc>
          <w:tcPr>
            <w:tcW w:w="619" w:type="dxa"/>
            <w:noWrap/>
            <w:hideMark/>
          </w:tcPr>
          <w:p w14:paraId="687CDF45" w14:textId="77777777" w:rsidR="00681BA1" w:rsidRPr="00945337" w:rsidRDefault="00681BA1" w:rsidP="00016E88">
            <w:pPr>
              <w:jc w:val="center"/>
              <w:rPr>
                <w:sz w:val="20"/>
                <w:szCs w:val="20"/>
              </w:rPr>
            </w:pPr>
            <w:r w:rsidRPr="00945337">
              <w:rPr>
                <w:sz w:val="20"/>
                <w:szCs w:val="20"/>
              </w:rPr>
              <w:t>942</w:t>
            </w:r>
          </w:p>
        </w:tc>
        <w:tc>
          <w:tcPr>
            <w:tcW w:w="619" w:type="dxa"/>
            <w:noWrap/>
            <w:hideMark/>
          </w:tcPr>
          <w:p w14:paraId="198E522E" w14:textId="77777777" w:rsidR="00681BA1" w:rsidRPr="00945337" w:rsidRDefault="00681BA1" w:rsidP="00016E88">
            <w:pPr>
              <w:jc w:val="center"/>
              <w:rPr>
                <w:sz w:val="20"/>
                <w:szCs w:val="20"/>
              </w:rPr>
            </w:pPr>
            <w:r w:rsidRPr="00945337">
              <w:rPr>
                <w:sz w:val="20"/>
                <w:szCs w:val="20"/>
              </w:rPr>
              <w:t>5.5</w:t>
            </w:r>
          </w:p>
        </w:tc>
        <w:tc>
          <w:tcPr>
            <w:tcW w:w="686" w:type="dxa"/>
            <w:noWrap/>
            <w:hideMark/>
          </w:tcPr>
          <w:p w14:paraId="03F368B6" w14:textId="77777777" w:rsidR="00681BA1" w:rsidRPr="00945337" w:rsidRDefault="00681BA1" w:rsidP="00016E88">
            <w:pPr>
              <w:jc w:val="center"/>
              <w:rPr>
                <w:sz w:val="20"/>
                <w:szCs w:val="20"/>
              </w:rPr>
            </w:pPr>
            <w:r w:rsidRPr="00945337">
              <w:rPr>
                <w:sz w:val="20"/>
                <w:szCs w:val="20"/>
              </w:rPr>
              <w:t>16.5</w:t>
            </w:r>
          </w:p>
        </w:tc>
        <w:tc>
          <w:tcPr>
            <w:tcW w:w="680" w:type="dxa"/>
            <w:noWrap/>
            <w:hideMark/>
          </w:tcPr>
          <w:p w14:paraId="2C04B1DC" w14:textId="77777777" w:rsidR="00681BA1" w:rsidRPr="00945337" w:rsidRDefault="00681BA1" w:rsidP="00016E88">
            <w:pPr>
              <w:jc w:val="center"/>
              <w:rPr>
                <w:sz w:val="20"/>
                <w:szCs w:val="20"/>
              </w:rPr>
            </w:pPr>
            <w:r w:rsidRPr="00945337">
              <w:rPr>
                <w:sz w:val="20"/>
                <w:szCs w:val="20"/>
              </w:rPr>
              <w:t>1.0</w:t>
            </w:r>
          </w:p>
        </w:tc>
        <w:tc>
          <w:tcPr>
            <w:tcW w:w="1062" w:type="dxa"/>
            <w:noWrap/>
            <w:hideMark/>
          </w:tcPr>
          <w:p w14:paraId="4B28110C" w14:textId="793BA05B" w:rsidR="00681BA1" w:rsidRPr="00945337" w:rsidRDefault="00681BA1" w:rsidP="00016E88">
            <w:pPr>
              <w:jc w:val="center"/>
              <w:rPr>
                <w:sz w:val="20"/>
                <w:szCs w:val="20"/>
              </w:rPr>
            </w:pPr>
            <w:r w:rsidRPr="00945337">
              <w:rPr>
                <w:sz w:val="20"/>
                <w:szCs w:val="20"/>
              </w:rPr>
              <w:t>y = 0.92x - 1.76</w:t>
            </w:r>
          </w:p>
        </w:tc>
        <w:tc>
          <w:tcPr>
            <w:tcW w:w="873" w:type="dxa"/>
            <w:noWrap/>
            <w:hideMark/>
          </w:tcPr>
          <w:p w14:paraId="5B22E82D" w14:textId="77777777" w:rsidR="00681BA1" w:rsidRPr="00945337" w:rsidRDefault="00681BA1" w:rsidP="00016E88">
            <w:pPr>
              <w:jc w:val="center"/>
              <w:rPr>
                <w:sz w:val="20"/>
                <w:szCs w:val="20"/>
              </w:rPr>
            </w:pPr>
            <w:r w:rsidRPr="00945337">
              <w:rPr>
                <w:sz w:val="20"/>
                <w:szCs w:val="20"/>
              </w:rPr>
              <w:t>&lt;0.0001</w:t>
            </w:r>
          </w:p>
        </w:tc>
        <w:tc>
          <w:tcPr>
            <w:tcW w:w="772" w:type="dxa"/>
            <w:noWrap/>
            <w:hideMark/>
          </w:tcPr>
          <w:p w14:paraId="6531F8FC" w14:textId="77777777" w:rsidR="00681BA1" w:rsidRPr="00945337" w:rsidRDefault="00681BA1" w:rsidP="00016E88">
            <w:pPr>
              <w:jc w:val="center"/>
              <w:rPr>
                <w:sz w:val="20"/>
                <w:szCs w:val="20"/>
              </w:rPr>
            </w:pPr>
            <w:r w:rsidRPr="00945337">
              <w:rPr>
                <w:sz w:val="20"/>
                <w:szCs w:val="20"/>
              </w:rPr>
              <w:t>0.961*</w:t>
            </w:r>
          </w:p>
        </w:tc>
      </w:tr>
    </w:tbl>
    <w:p w14:paraId="3FBFC696" w14:textId="00D09596" w:rsidR="00681BA1" w:rsidRPr="00945337" w:rsidRDefault="00681BA1" w:rsidP="005F155B">
      <w:r w:rsidRPr="00945337">
        <w:fldChar w:fldCharType="begin"/>
      </w:r>
      <w:r w:rsidRPr="00945337">
        <w:instrText xml:space="preserve"> LINK Excel.Sheet.12 "\\\\igswcawwfs8001\\BGC Group Data\\__PROJECTS\\Drought Barrier Study\\Data\\Mapping\\T3\\CalculatedModels_ISUS-DScompare_011420_ebs.xlsx" "summary table!R1C1:R2C14" \a \f 5 \h  \* MERGEFORMAT </w:instrText>
      </w:r>
      <w:r w:rsidRPr="00945337">
        <w:fldChar w:fldCharType="separate"/>
      </w:r>
    </w:p>
    <w:p w14:paraId="4635AA47" w14:textId="34025D78" w:rsidR="00243CE5" w:rsidRPr="00945337" w:rsidRDefault="00681BA1" w:rsidP="00243CE5">
      <w:pPr>
        <w:rPr>
          <w:rFonts w:cstheme="minorHAnsi"/>
          <w:color w:val="000000"/>
          <w:shd w:val="clear" w:color="auto" w:fill="FFFFFF"/>
        </w:rPr>
      </w:pPr>
      <w:r w:rsidRPr="00945337">
        <w:fldChar w:fldCharType="end"/>
      </w:r>
      <w:r w:rsidR="00C1746D" w:rsidRPr="00945337">
        <w:t xml:space="preserve">Continuous DOC concentrations were developed by regressing onboard fDOM data against laboratory determined DOC concentrations measured in discrete samples according to modified methods by Snyder </w:t>
      </w:r>
      <w:r w:rsidR="009C1EBE">
        <w:t>and others</w:t>
      </w:r>
      <w:r w:rsidR="00C1746D" w:rsidRPr="00945337">
        <w:t xml:space="preserve"> (2018); these data are reported as estDOC.</w:t>
      </w:r>
      <w:r w:rsidR="00566944" w:rsidRPr="00945337">
        <w:t xml:space="preserve"> </w:t>
      </w:r>
      <w:r w:rsidR="00C1746D" w:rsidRPr="00945337">
        <w:t xml:space="preserve">Data exceeding 3 times the standard deviation of the residuals were judged to be an outlier and not included in the model. </w:t>
      </w:r>
      <w:r w:rsidR="00566944" w:rsidRPr="00945337">
        <w:t xml:space="preserve"> The regression equation for estimated DOC</w:t>
      </w:r>
      <w:r w:rsidR="006953E8" w:rsidRPr="00945337">
        <w:t xml:space="preserve"> is given as DOC</w:t>
      </w:r>
      <w:r w:rsidR="00566944" w:rsidRPr="00945337">
        <w:t xml:space="preserve"> = 0.064*(fDOM EXO) + 1.0</w:t>
      </w:r>
      <w:r w:rsidR="00992417" w:rsidRPr="00945337">
        <w:t>68</w:t>
      </w:r>
      <w:r w:rsidR="00566944" w:rsidRPr="00945337">
        <w:t xml:space="preserve"> with R2 = 0.897.</w:t>
      </w:r>
      <w:r w:rsidR="00243CE5" w:rsidRPr="00945337">
        <w:t xml:space="preserve"> </w:t>
      </w:r>
    </w:p>
    <w:p w14:paraId="604BD9DC" w14:textId="664D19FB" w:rsidR="003D7DC4" w:rsidRPr="00945337" w:rsidRDefault="003D7DC4" w:rsidP="00243CE5">
      <w:r w:rsidRPr="00945337">
        <w:lastRenderedPageBreak/>
        <w:t>Laboratory reported data for discrete samples from the National Water Quality Information System (NWIS;</w:t>
      </w:r>
      <w:r w:rsidR="00CC7DCF" w:rsidRPr="00945337">
        <w:t xml:space="preserve"> USGS, 2022</w:t>
      </w:r>
      <w:r w:rsidRPr="00945337">
        <w:t>)</w:t>
      </w:r>
      <w:r w:rsidR="00521734" w:rsidRPr="00945337">
        <w:t xml:space="preserve"> </w:t>
      </w:r>
      <w:r w:rsidRPr="00945337">
        <w:t>are included for convenience in a discrete data file. Accompanying the laboratory reported data are NWIS qualifier and remark codes as they appear in NWIS</w:t>
      </w:r>
      <w:r w:rsidR="00AB5473" w:rsidRPr="00945337">
        <w:rPr>
          <w:rFonts w:eastAsia="Calibri" w:cstheme="minorHAnsi"/>
          <w:color w:val="000000"/>
          <w:sz w:val="24"/>
        </w:rPr>
        <w:t xml:space="preserve"> </w:t>
      </w:r>
      <w:r w:rsidR="00AB5473" w:rsidRPr="00945337">
        <w:t>(U.S. Geological Survey, 2011a, 2011b)</w:t>
      </w:r>
      <w:r w:rsidRPr="00945337">
        <w:t xml:space="preserve">. For discrete nutrient sample concentrations, in addition to reporting nutrient parameters as they appear in NWIS (e.g., mg-N/L or mg-P/L), we also report those same parameters converted to µM units. </w:t>
      </w:r>
      <w:r w:rsidR="00AB5473" w:rsidRPr="00945337">
        <w:t xml:space="preserve">For laboratory reported values that are reported below the method lowest detection limit (LDL), half of the LDL is reported in the associated µM column (Clarke 1998), and those data are used to bias correct the ISUS NO3 data (Pellerin </w:t>
      </w:r>
      <w:r w:rsidR="009C1EBE">
        <w:t>and others</w:t>
      </w:r>
      <w:r w:rsidR="00AB5473" w:rsidRPr="00945337">
        <w:t>, 2013) and to generate the spatially aligned datasets.</w:t>
      </w:r>
    </w:p>
    <w:p w14:paraId="74B58A69" w14:textId="59B3AE3C" w:rsidR="001B3F21" w:rsidRPr="00945337" w:rsidRDefault="00992FE1" w:rsidP="00131FD4">
      <w:r w:rsidRPr="00945337">
        <w:t xml:space="preserve">Methods for processing water isotope data and calculating water residence time are outlined in Downing </w:t>
      </w:r>
      <w:r w:rsidR="009C1EBE">
        <w:t>and others</w:t>
      </w:r>
      <w:r w:rsidRPr="00945337">
        <w:t xml:space="preserve"> </w:t>
      </w:r>
      <w:r w:rsidR="00994B00">
        <w:t>(</w:t>
      </w:r>
      <w:r w:rsidRPr="00945337">
        <w:t>2016</w:t>
      </w:r>
      <w:r w:rsidR="00994B00">
        <w:t>)</w:t>
      </w:r>
      <w:r w:rsidRPr="00945337">
        <w:t>.</w:t>
      </w:r>
      <w:r w:rsidR="002B2F24" w:rsidRPr="00945337">
        <w:t xml:space="preserve"> </w:t>
      </w:r>
    </w:p>
    <w:p w14:paraId="0A8157A1" w14:textId="1F454822" w:rsidR="005F155B" w:rsidRPr="00945337" w:rsidRDefault="00443205" w:rsidP="00131FD4">
      <w:pPr>
        <w:rPr>
          <w:color w:val="000000" w:themeColor="text1"/>
        </w:rPr>
      </w:pPr>
      <w:r w:rsidRPr="00945337">
        <w:rPr>
          <w:color w:val="000000" w:themeColor="text1"/>
          <w:sz w:val="23"/>
          <w:szCs w:val="23"/>
        </w:rPr>
        <w:t xml:space="preserve">Spatial Alignment (SA) </w:t>
      </w:r>
    </w:p>
    <w:p w14:paraId="2E8C2AF0" w14:textId="301E0C89" w:rsidR="003D5247" w:rsidRPr="00945337" w:rsidRDefault="003D5247" w:rsidP="002F263B">
      <w:pPr>
        <w:ind w:left="-5" w:right="53"/>
      </w:pPr>
      <w:r w:rsidRPr="00945337">
        <w:t>Data were spatially aligned to geographic coordinate system</w:t>
      </w:r>
      <w:r w:rsidR="00195388" w:rsidRPr="00945337">
        <w:t xml:space="preserve"> [NAD 1983 (2011)]</w:t>
      </w:r>
      <w:r w:rsidRPr="00945337">
        <w:t xml:space="preserve"> to facilitate comparisons between dates and to minimize the effects of differential data density on the spatial interpolation calculations. The spatial alignment was performed using the </w:t>
      </w:r>
      <w:r w:rsidR="00E10370" w:rsidRPr="00945337">
        <w:t>G</w:t>
      </w:r>
      <w:r w:rsidRPr="00945337">
        <w:t>eo</w:t>
      </w:r>
      <w:r w:rsidR="00AB5473" w:rsidRPr="00945337">
        <w:t>P</w:t>
      </w:r>
      <w:r w:rsidRPr="00945337">
        <w:t>andas software library in python</w:t>
      </w:r>
      <w:r w:rsidR="00AB5473" w:rsidRPr="00945337">
        <w:rPr>
          <w:rFonts w:ascii="Calibri" w:eastAsia="Calibri" w:hAnsi="Calibri" w:cs="Calibri"/>
          <w:color w:val="000000"/>
          <w:sz w:val="24"/>
        </w:rPr>
        <w:t xml:space="preserve"> </w:t>
      </w:r>
      <w:r w:rsidR="00AB5473" w:rsidRPr="00945337">
        <w:t>(Jordahl, 2014)</w:t>
      </w:r>
      <w:r w:rsidRPr="00945337">
        <w:t xml:space="preserve">, which assigned median-filtered data points to polygon shapefiles that are spaced at approximately 150 m intervals. Spatially aligned data were then aggregated by polygon shapefile to obtain summary statistics of all median-filtered data within a polygon. </w:t>
      </w:r>
    </w:p>
    <w:p w14:paraId="5258163F" w14:textId="77777777" w:rsidR="003D5247" w:rsidRPr="00945337" w:rsidRDefault="003D5247" w:rsidP="003D5247">
      <w:pPr>
        <w:ind w:left="-5" w:right="53"/>
      </w:pPr>
      <w:r w:rsidRPr="00945337">
        <w:t>Interpolated water quality data were created from the spatially aligned data using ESRI’s ArcGIS Pro Spline with Barriers tool (Terzopoulos and Witkin, 1988). The raster output was smoothed with the Focal Statistics tool, and interpolated values from the raster output were extracted to the spatially aligned points with the Extract Multi Values to Points tool to create continuous spatially aligned data across the mapping domain. Rasters were converted to vector format using the Contour tool, then clipped with the Clip tool using a Sacramento-San Joaquin Delta polygon obtained from the National Hydrography Dataset. These data are referred to as spatially aligned (SA) and are associated with a specific sampling day, and water quality parameter.</w:t>
      </w:r>
    </w:p>
    <w:p w14:paraId="59BC6E95" w14:textId="52E27F27" w:rsidR="00F13ADA" w:rsidRPr="00945337" w:rsidRDefault="0028130B" w:rsidP="0028130B">
      <w:pPr>
        <w:pStyle w:val="Heading2"/>
        <w:rPr>
          <w:rStyle w:val="Heading2Char"/>
          <w:color w:val="auto"/>
          <w:sz w:val="32"/>
          <w:szCs w:val="32"/>
        </w:rPr>
      </w:pPr>
      <w:r w:rsidRPr="00945337">
        <w:rPr>
          <w:rStyle w:val="Heading2Char"/>
          <w:color w:val="auto"/>
          <w:sz w:val="32"/>
          <w:szCs w:val="32"/>
        </w:rPr>
        <w:t>References</w:t>
      </w:r>
    </w:p>
    <w:p w14:paraId="48B227E5" w14:textId="5C45D951" w:rsidR="00FC1DCA" w:rsidRPr="00945337" w:rsidRDefault="00FC1DCA" w:rsidP="002F6818">
      <w:pPr>
        <w:ind w:left="720" w:hanging="720"/>
      </w:pPr>
      <w:r w:rsidRPr="00945337">
        <w:t>Clarke, J.U. (1998) Evaluation of censored data methods to allow statistical comparisons among very small samples with below detection limit observations. Environmental Science &amp; Technology, 32 177-183.</w:t>
      </w:r>
    </w:p>
    <w:p w14:paraId="11168A76" w14:textId="30E09088" w:rsidR="005F155B" w:rsidRPr="00945337" w:rsidRDefault="005F155B" w:rsidP="002F6818">
      <w:pPr>
        <w:ind w:left="720" w:hanging="720"/>
      </w:pPr>
      <w:r w:rsidRPr="00945337">
        <w:t>Downing, B.D., Bergamaschi, B.A., Kendall, C., Kraus, T.E.C., Dennis, K.J., Carter, J.A. and Von Dessonneck, T.S. (2016) Using Continuous Underway Isotope Measurements to Map Water Residence Time in Hydrodynamically Complex Tidal Environments. Environmental Science &amp; Technology 50, 13387-13396.</w:t>
      </w:r>
    </w:p>
    <w:p w14:paraId="32157A50" w14:textId="04108000" w:rsidR="001538BC" w:rsidRPr="00945337" w:rsidRDefault="001538BC" w:rsidP="002F6818">
      <w:pPr>
        <w:ind w:left="720" w:hanging="720"/>
      </w:pPr>
      <w:r w:rsidRPr="00945337">
        <w:t>Fichot, C.G., Downing, B.D., Bergamaschi, B.A., Windham-Myers, L., Marvin-DiPasquale, M., Thompson, D.R. and Gierach, M.M., (2016). High-resolution remote sensing of water quality in the San Francisco Bay–Delta Estuary. Environmental Science &amp; Technology, 50(2), pp.573-583.</w:t>
      </w:r>
    </w:p>
    <w:p w14:paraId="28CA9175" w14:textId="689D9599" w:rsidR="005F155B" w:rsidRDefault="005F155B" w:rsidP="002F6818">
      <w:pPr>
        <w:ind w:left="720" w:hanging="720"/>
      </w:pPr>
      <w:r w:rsidRPr="00945337">
        <w:lastRenderedPageBreak/>
        <w:t>Fishman, M.J. (1993) Methods of analysis by the US Geological Survey National Water Quality Laboratory: Determination of inorganic and organic constituents in water and fluvial sediments. US Geological Survey open-file report (USA).</w:t>
      </w:r>
    </w:p>
    <w:p w14:paraId="6BFC0972" w14:textId="2923FCF3" w:rsidR="003C787D" w:rsidRDefault="003C787D" w:rsidP="002F6818">
      <w:pPr>
        <w:ind w:left="720" w:hanging="720"/>
      </w:pPr>
      <w:r w:rsidRPr="003C787D">
        <w:t xml:space="preserve">Hansen, A.M., Fleck, J.A., Kraus, T.E.C., Downing, B.D., von Dessonneck, T., and Bergamaschi, B.A. </w:t>
      </w:r>
      <w:r>
        <w:t>(</w:t>
      </w:r>
      <w:r w:rsidRPr="003C787D">
        <w:t>2018</w:t>
      </w:r>
      <w:r>
        <w:t>)</w:t>
      </w:r>
      <w:r w:rsidRPr="003C787D">
        <w:t xml:space="preserve">, Procedures for using the Horiba Scientific Aqualog® fluorometer to measure absorbance and fluorescence from dissolved organic matter: U.S. Geological Survey Open-File Report 2018–1096, 31 p. </w:t>
      </w:r>
    </w:p>
    <w:p w14:paraId="0080FE9B" w14:textId="0CD895EB" w:rsidR="003C787D" w:rsidRPr="00945337" w:rsidRDefault="003C787D" w:rsidP="002F6818">
      <w:pPr>
        <w:ind w:left="720" w:hanging="720"/>
      </w:pPr>
      <w:r w:rsidRPr="003C787D">
        <w:t>Hansen, A.M., Kraus, T.E.C., Pellerin, B.A., Fleck, J.A., Downing, B.D. and Bergamaschi, B.A. (2016) Optical properties of dissolved organic matter (DOM): Effects of biological and photolytic degradation. Limnol</w:t>
      </w:r>
      <w:r>
        <w:t>ogy and</w:t>
      </w:r>
      <w:r w:rsidRPr="003C787D">
        <w:t xml:space="preserve"> Oceanogr</w:t>
      </w:r>
      <w:r>
        <w:t>aphy</w:t>
      </w:r>
      <w:r w:rsidRPr="003C787D">
        <w:t>, 61</w:t>
      </w:r>
      <w:r>
        <w:t>(3),</w:t>
      </w:r>
      <w:r w:rsidRPr="003C787D">
        <w:t xml:space="preserve"> 1015-1032. </w:t>
      </w:r>
    </w:p>
    <w:p w14:paraId="767E5232" w14:textId="2E87E839" w:rsidR="00FC1DCA" w:rsidRPr="00945337" w:rsidRDefault="00FC1DCA" w:rsidP="002F6818">
      <w:pPr>
        <w:ind w:left="720" w:hanging="720"/>
      </w:pPr>
      <w:bookmarkStart w:id="5" w:name="_Hlk96952127"/>
      <w:r w:rsidRPr="00945337">
        <w:t xml:space="preserve">Jordahl, K. (2014). GeoPandas: Python tools for geographic data. URL: </w:t>
      </w:r>
      <w:r w:rsidR="008669D9" w:rsidRPr="008669D9">
        <w:t>https://github.com/geopandas/geopandas</w:t>
      </w:r>
      <w:r w:rsidR="008669D9">
        <w:t>.</w:t>
      </w:r>
    </w:p>
    <w:bookmarkEnd w:id="5"/>
    <w:p w14:paraId="58BE581C" w14:textId="5BFA9CD5" w:rsidR="00FC1DCA" w:rsidRPr="00945337" w:rsidRDefault="00FC1DCA" w:rsidP="002F6818">
      <w:pPr>
        <w:ind w:left="720" w:hanging="720"/>
      </w:pPr>
      <w:r w:rsidRPr="00945337">
        <w:t>McKinney, W. (2010). Data structures for statistical computing in python. In Proceedings of the 9th Python in Science Conference (Vol. 445, No. 1, pp. 51–56).</w:t>
      </w:r>
    </w:p>
    <w:p w14:paraId="472B5663" w14:textId="77777777" w:rsidR="005F155B" w:rsidRPr="00945337" w:rsidRDefault="005F155B" w:rsidP="002F6818">
      <w:pPr>
        <w:ind w:left="720" w:hanging="720"/>
      </w:pPr>
      <w:r w:rsidRPr="00945337">
        <w:t>Patton, C.J. and Kryskalla, J.R. (2003) Methods of analysis by the U.S. Geological Survey National Water Quality Laboratory: Evaluation of Alkaline Persulfate Digestion as an Alternative to Kjeldahl Digestion for Determination of Total and Dissolved Nitrogen and Phosphorus in Water. US Geological Survey. Water-Resources Investigations Report 03-4174.</w:t>
      </w:r>
    </w:p>
    <w:p w14:paraId="649DFAD7" w14:textId="77777777" w:rsidR="005F155B" w:rsidRPr="00945337" w:rsidRDefault="005F155B" w:rsidP="002F6818">
      <w:pPr>
        <w:ind w:left="720" w:hanging="720"/>
      </w:pPr>
      <w:r w:rsidRPr="00945337">
        <w:t>Patton, C.J. and Kryskalla, J.R. (2011) Colorimetric determination of nitrate plus nitrite in water by enzymatic reduction, automated discrete analyzer methods. US Geological Survey Techniques and Methods 34.</w:t>
      </w:r>
    </w:p>
    <w:p w14:paraId="1BACF302" w14:textId="58F0E19E" w:rsidR="005F155B" w:rsidRPr="00945337" w:rsidRDefault="005F155B" w:rsidP="002F6818">
      <w:pPr>
        <w:ind w:left="720" w:hanging="720"/>
      </w:pPr>
      <w:r w:rsidRPr="00945337">
        <w:t>Patton, C.J. and Truitt, E.P. (1992) Methods of Analysis by the US Geological Survey National Water Quality Laboratory: Determination of the Total Phosphorus by a Kjeldahl Digestion Method and an Automated Colorimetric Finish that Includes Dialysis. US Geological Survey.</w:t>
      </w:r>
    </w:p>
    <w:p w14:paraId="2C0C4823" w14:textId="20728B13" w:rsidR="00EB6B0E" w:rsidRPr="00945337" w:rsidRDefault="00EB6B0E" w:rsidP="002F6818">
      <w:pPr>
        <w:ind w:left="720" w:hanging="720"/>
      </w:pPr>
      <w:bookmarkStart w:id="6" w:name="_Hlk96952173"/>
      <w:r w:rsidRPr="00945337">
        <w:t>Pellerin, B.A., Bergamaschi, B.A., Downing, B.D., Saraceno, J.F., Garrett, J.A., and Olsen, L.D., 2013, Optical techniques for the determination of nitrate in environmental waters: Guidelines for instrument selection, operation, deployment, maintenance, quality assurance, and data reporting: U.S. Geological Survey Techniques and Methods 1–D5, 37 p.</w:t>
      </w:r>
    </w:p>
    <w:bookmarkEnd w:id="6"/>
    <w:p w14:paraId="6966F5EF" w14:textId="4A93E122" w:rsidR="002E6373" w:rsidRPr="00945337" w:rsidRDefault="002E6373" w:rsidP="002F6818">
      <w:pPr>
        <w:ind w:left="720" w:hanging="720"/>
      </w:pPr>
      <w:r w:rsidRPr="00945337">
        <w:t xml:space="preserve">Potter, B.B. and Wimsatt, J.C., 2012. USEPA method 415.3: Quantifying TOC, DOC, and SUVA. </w:t>
      </w:r>
      <w:r w:rsidRPr="00D17AD3">
        <w:rPr>
          <w:iCs/>
        </w:rPr>
        <w:t>Journal‐American Water Works Association, 104(6</w:t>
      </w:r>
      <w:r w:rsidRPr="00945337">
        <w:t>), pp. E358 - E369.</w:t>
      </w:r>
    </w:p>
    <w:p w14:paraId="6CC28938" w14:textId="1DF92846" w:rsidR="00915564" w:rsidRPr="00945337" w:rsidRDefault="00915564" w:rsidP="002F6818">
      <w:pPr>
        <w:ind w:left="720" w:hanging="720"/>
      </w:pPr>
      <w:r w:rsidRPr="00945337">
        <w:t>Snyder, L., Potter, J.D. and McDowell, W.H., 2018. An evaluation of nitrate, fDOM, and turbidity sensors in New Hampshire streams. Water Resources Research, 54(3), pp.2466-2479.</w:t>
      </w:r>
    </w:p>
    <w:p w14:paraId="2C973C3D" w14:textId="07583716" w:rsidR="005F155B" w:rsidRPr="00945337" w:rsidRDefault="005F155B" w:rsidP="002F6818">
      <w:pPr>
        <w:ind w:left="720" w:hanging="720"/>
      </w:pPr>
      <w:r w:rsidRPr="00945337">
        <w:t>Terzopoulos, D. and Witkin, A. (1988) Physically based models with rigid and deformable components. IEEE Computer Graphics and Applications 8, 41-51.</w:t>
      </w:r>
    </w:p>
    <w:p w14:paraId="18E4BDFC" w14:textId="64425363" w:rsidR="004D12A5" w:rsidRPr="00945337" w:rsidRDefault="004D12A5" w:rsidP="002F6818">
      <w:pPr>
        <w:ind w:left="720" w:hanging="720"/>
      </w:pPr>
      <w:bookmarkStart w:id="7" w:name="_Hlk96951703"/>
      <w:r w:rsidRPr="00945337">
        <w:t xml:space="preserve">U.S. Geological Survey, 2022. USGS water data for the Nation: U.S. Geological Survey National Water Information System database, accessed February 4, 2021, at </w:t>
      </w:r>
      <w:hyperlink r:id="rId6" w:history="1">
        <w:r w:rsidR="00FC1DCA" w:rsidRPr="00945337">
          <w:rPr>
            <w:rStyle w:val="Hyperlink"/>
          </w:rPr>
          <w:t>http://dx.doi.org/10.5066/F7P55KJN</w:t>
        </w:r>
      </w:hyperlink>
    </w:p>
    <w:p w14:paraId="78DFF729" w14:textId="77777777" w:rsidR="00FC1DCA" w:rsidRPr="00945337" w:rsidRDefault="00FC1DCA" w:rsidP="002F6818">
      <w:pPr>
        <w:ind w:left="720" w:hanging="720"/>
      </w:pPr>
      <w:r w:rsidRPr="00945337">
        <w:lastRenderedPageBreak/>
        <w:t>U.S. Geological Survey (2011a). Value Qualifier Codes: U.S. Geological Survey National Water Information System Help System, https://help.waterdata.usgs.gov/code/val_qual_cd_query?fmt=html</w:t>
      </w:r>
    </w:p>
    <w:p w14:paraId="5F85E08B" w14:textId="4319DDD9" w:rsidR="00FC1DCA" w:rsidRPr="00945337" w:rsidRDefault="00FC1DCA" w:rsidP="002F6818">
      <w:pPr>
        <w:ind w:left="720" w:hanging="720"/>
      </w:pPr>
      <w:r w:rsidRPr="00945337">
        <w:t>U.S. Geological Survey (2011b). Remark Codes: U.S. Geological Survey National Water Information System Help System, https://help.waterdata.usgs.gov/remark_cd</w:t>
      </w:r>
    </w:p>
    <w:p w14:paraId="51E4AD64" w14:textId="32DE4362" w:rsidR="00170648" w:rsidRPr="0028130B" w:rsidRDefault="00FC1DCA" w:rsidP="002F6818">
      <w:pPr>
        <w:ind w:left="720" w:hanging="720"/>
      </w:pPr>
      <w:r w:rsidRPr="00945337">
        <w:t>Van Rossum, G. and Drake, F. L. (2009). Python 3 Reference Manual. Scotts Valley, CA: CreateSpace.</w:t>
      </w:r>
      <w:bookmarkEnd w:id="7"/>
    </w:p>
    <w:sectPr w:rsidR="00170648" w:rsidRPr="002813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064C75"/>
    <w:multiLevelType w:val="hybridMultilevel"/>
    <w:tmpl w:val="B47EF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9F62DA"/>
    <w:multiLevelType w:val="hybridMultilevel"/>
    <w:tmpl w:val="3E501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D96DBA"/>
    <w:multiLevelType w:val="hybridMultilevel"/>
    <w:tmpl w:val="B386CB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5147022">
    <w:abstractNumId w:val="0"/>
  </w:num>
  <w:num w:numId="2" w16cid:durableId="1104347671">
    <w:abstractNumId w:val="2"/>
  </w:num>
  <w:num w:numId="3" w16cid:durableId="42562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672"/>
    <w:rsid w:val="00013BBC"/>
    <w:rsid w:val="00016E88"/>
    <w:rsid w:val="00052AD8"/>
    <w:rsid w:val="00073454"/>
    <w:rsid w:val="0008458C"/>
    <w:rsid w:val="000A627C"/>
    <w:rsid w:val="000B068F"/>
    <w:rsid w:val="000B414D"/>
    <w:rsid w:val="000B4A43"/>
    <w:rsid w:val="000E0B32"/>
    <w:rsid w:val="001072B6"/>
    <w:rsid w:val="00131FD4"/>
    <w:rsid w:val="001538BC"/>
    <w:rsid w:val="00170648"/>
    <w:rsid w:val="001711C0"/>
    <w:rsid w:val="00176B12"/>
    <w:rsid w:val="00195388"/>
    <w:rsid w:val="00196656"/>
    <w:rsid w:val="001A52AC"/>
    <w:rsid w:val="001A590D"/>
    <w:rsid w:val="001B3F21"/>
    <w:rsid w:val="001B6E1B"/>
    <w:rsid w:val="00201241"/>
    <w:rsid w:val="002248DF"/>
    <w:rsid w:val="00243CE5"/>
    <w:rsid w:val="0024583A"/>
    <w:rsid w:val="00253CCB"/>
    <w:rsid w:val="0028130B"/>
    <w:rsid w:val="002B2F24"/>
    <w:rsid w:val="002E18E9"/>
    <w:rsid w:val="002E2A2A"/>
    <w:rsid w:val="002E6373"/>
    <w:rsid w:val="002F0247"/>
    <w:rsid w:val="002F263B"/>
    <w:rsid w:val="002F6818"/>
    <w:rsid w:val="00315113"/>
    <w:rsid w:val="00324056"/>
    <w:rsid w:val="00324DD7"/>
    <w:rsid w:val="0034384A"/>
    <w:rsid w:val="00354260"/>
    <w:rsid w:val="00376339"/>
    <w:rsid w:val="003972D2"/>
    <w:rsid w:val="003A38FB"/>
    <w:rsid w:val="003A67A1"/>
    <w:rsid w:val="003C787D"/>
    <w:rsid w:val="003D5247"/>
    <w:rsid w:val="003D7DC4"/>
    <w:rsid w:val="004347BE"/>
    <w:rsid w:val="00440017"/>
    <w:rsid w:val="00443205"/>
    <w:rsid w:val="00472120"/>
    <w:rsid w:val="0049727E"/>
    <w:rsid w:val="004B0849"/>
    <w:rsid w:val="004D12A5"/>
    <w:rsid w:val="004E6616"/>
    <w:rsid w:val="00503504"/>
    <w:rsid w:val="00517AFF"/>
    <w:rsid w:val="00521734"/>
    <w:rsid w:val="005277C6"/>
    <w:rsid w:val="00566944"/>
    <w:rsid w:val="00571D78"/>
    <w:rsid w:val="00574695"/>
    <w:rsid w:val="005F155B"/>
    <w:rsid w:val="006015C8"/>
    <w:rsid w:val="006023C9"/>
    <w:rsid w:val="0060602A"/>
    <w:rsid w:val="00607F84"/>
    <w:rsid w:val="00681BA1"/>
    <w:rsid w:val="006953E8"/>
    <w:rsid w:val="006D2D8E"/>
    <w:rsid w:val="006F2712"/>
    <w:rsid w:val="0074421C"/>
    <w:rsid w:val="007445CD"/>
    <w:rsid w:val="00744647"/>
    <w:rsid w:val="0075033A"/>
    <w:rsid w:val="00775E22"/>
    <w:rsid w:val="00777F1F"/>
    <w:rsid w:val="00780CE2"/>
    <w:rsid w:val="00784C09"/>
    <w:rsid w:val="007F61CC"/>
    <w:rsid w:val="00801A9B"/>
    <w:rsid w:val="00810099"/>
    <w:rsid w:val="00817071"/>
    <w:rsid w:val="00837430"/>
    <w:rsid w:val="008656D7"/>
    <w:rsid w:val="008669D9"/>
    <w:rsid w:val="00867D96"/>
    <w:rsid w:val="00874AA0"/>
    <w:rsid w:val="008856B8"/>
    <w:rsid w:val="0088729A"/>
    <w:rsid w:val="00890672"/>
    <w:rsid w:val="00890AB8"/>
    <w:rsid w:val="00910F9E"/>
    <w:rsid w:val="00915564"/>
    <w:rsid w:val="00945337"/>
    <w:rsid w:val="009866A3"/>
    <w:rsid w:val="0099113F"/>
    <w:rsid w:val="00992417"/>
    <w:rsid w:val="00992FE1"/>
    <w:rsid w:val="00994B00"/>
    <w:rsid w:val="009C1EBE"/>
    <w:rsid w:val="009C69B3"/>
    <w:rsid w:val="00A06C66"/>
    <w:rsid w:val="00A16B25"/>
    <w:rsid w:val="00A348AC"/>
    <w:rsid w:val="00A648DB"/>
    <w:rsid w:val="00AB5473"/>
    <w:rsid w:val="00AB73DA"/>
    <w:rsid w:val="00B06988"/>
    <w:rsid w:val="00B106DF"/>
    <w:rsid w:val="00B511AF"/>
    <w:rsid w:val="00B542C6"/>
    <w:rsid w:val="00B569E6"/>
    <w:rsid w:val="00BE2C23"/>
    <w:rsid w:val="00C04C84"/>
    <w:rsid w:val="00C10BD6"/>
    <w:rsid w:val="00C1746D"/>
    <w:rsid w:val="00C70188"/>
    <w:rsid w:val="00CC7DCF"/>
    <w:rsid w:val="00D02E52"/>
    <w:rsid w:val="00D17AD3"/>
    <w:rsid w:val="00D21F8A"/>
    <w:rsid w:val="00D23696"/>
    <w:rsid w:val="00D23A15"/>
    <w:rsid w:val="00D53EC1"/>
    <w:rsid w:val="00D87EBF"/>
    <w:rsid w:val="00DD2B1D"/>
    <w:rsid w:val="00DD5479"/>
    <w:rsid w:val="00DD79F9"/>
    <w:rsid w:val="00E10370"/>
    <w:rsid w:val="00E10D6A"/>
    <w:rsid w:val="00E2265F"/>
    <w:rsid w:val="00E2741F"/>
    <w:rsid w:val="00E36C17"/>
    <w:rsid w:val="00E8798A"/>
    <w:rsid w:val="00EA4BFA"/>
    <w:rsid w:val="00EB4D81"/>
    <w:rsid w:val="00EB6B0E"/>
    <w:rsid w:val="00EE494D"/>
    <w:rsid w:val="00EE5F6E"/>
    <w:rsid w:val="00F135C1"/>
    <w:rsid w:val="00F13ADA"/>
    <w:rsid w:val="00F30D18"/>
    <w:rsid w:val="00F42657"/>
    <w:rsid w:val="00F444B6"/>
    <w:rsid w:val="00F8748E"/>
    <w:rsid w:val="00FA093B"/>
    <w:rsid w:val="00FC1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688BB"/>
  <w15:chartTrackingRefBased/>
  <w15:docId w15:val="{7810AB75-16E9-4827-8491-9E757C73E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3DA"/>
    <w:pPr>
      <w:keepNext/>
      <w:keepLines/>
      <w:spacing w:before="240" w:after="0" w:line="36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B73DA"/>
    <w:pPr>
      <w:keepNext/>
      <w:keepLines/>
      <w:spacing w:before="40" w:after="0" w:line="360"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9067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801A9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90672"/>
    <w:rPr>
      <w:rFonts w:ascii="Times New Roman" w:eastAsia="Times New Roman" w:hAnsi="Times New Roman" w:cs="Times New Roman"/>
      <w:b/>
      <w:bCs/>
      <w:sz w:val="27"/>
      <w:szCs w:val="27"/>
    </w:rPr>
  </w:style>
  <w:style w:type="character" w:customStyle="1" w:styleId="apple-converted-space">
    <w:name w:val="apple-converted-space"/>
    <w:basedOn w:val="DefaultParagraphFont"/>
    <w:rsid w:val="00890672"/>
  </w:style>
  <w:style w:type="paragraph" w:styleId="ListParagraph">
    <w:name w:val="List Paragraph"/>
    <w:basedOn w:val="Normal"/>
    <w:uiPriority w:val="34"/>
    <w:qFormat/>
    <w:rsid w:val="00440017"/>
    <w:pPr>
      <w:ind w:left="720"/>
      <w:contextualSpacing/>
    </w:pPr>
  </w:style>
  <w:style w:type="character" w:customStyle="1" w:styleId="Heading1Char">
    <w:name w:val="Heading 1 Char"/>
    <w:basedOn w:val="DefaultParagraphFont"/>
    <w:link w:val="Heading1"/>
    <w:uiPriority w:val="9"/>
    <w:rsid w:val="00AB73D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B73D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AB73DA"/>
    <w:rPr>
      <w:color w:val="0000FF"/>
      <w:u w:val="single"/>
    </w:rPr>
  </w:style>
  <w:style w:type="character" w:styleId="CommentReference">
    <w:name w:val="annotation reference"/>
    <w:basedOn w:val="DefaultParagraphFont"/>
    <w:uiPriority w:val="99"/>
    <w:semiHidden/>
    <w:unhideWhenUsed/>
    <w:rsid w:val="00AB73DA"/>
    <w:rPr>
      <w:sz w:val="16"/>
      <w:szCs w:val="16"/>
    </w:rPr>
  </w:style>
  <w:style w:type="paragraph" w:styleId="BalloonText">
    <w:name w:val="Balloon Text"/>
    <w:basedOn w:val="Normal"/>
    <w:link w:val="BalloonTextChar"/>
    <w:uiPriority w:val="99"/>
    <w:semiHidden/>
    <w:unhideWhenUsed/>
    <w:rsid w:val="00F135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35C1"/>
    <w:rPr>
      <w:rFonts w:ascii="Segoe UI" w:hAnsi="Segoe UI" w:cs="Segoe UI"/>
      <w:sz w:val="18"/>
      <w:szCs w:val="18"/>
    </w:rPr>
  </w:style>
  <w:style w:type="paragraph" w:customStyle="1" w:styleId="EndNoteBibliography">
    <w:name w:val="EndNote Bibliography"/>
    <w:basedOn w:val="Normal"/>
    <w:link w:val="EndNoteBibliographyChar"/>
    <w:rsid w:val="00176B12"/>
    <w:pPr>
      <w:spacing w:line="240" w:lineRule="auto"/>
    </w:pPr>
    <w:rPr>
      <w:rFonts w:ascii="Calibri Light" w:hAnsi="Calibri Light" w:cs="Calibri Light"/>
      <w:noProof/>
      <w:sz w:val="26"/>
    </w:rPr>
  </w:style>
  <w:style w:type="character" w:customStyle="1" w:styleId="EndNoteBibliographyChar">
    <w:name w:val="EndNote Bibliography Char"/>
    <w:basedOn w:val="DefaultParagraphFont"/>
    <w:link w:val="EndNoteBibliography"/>
    <w:rsid w:val="00176B12"/>
    <w:rPr>
      <w:rFonts w:ascii="Calibri Light" w:hAnsi="Calibri Light" w:cs="Calibri Light"/>
      <w:noProof/>
      <w:sz w:val="26"/>
    </w:rPr>
  </w:style>
  <w:style w:type="table" w:styleId="TableGrid">
    <w:name w:val="Table Grid"/>
    <w:basedOn w:val="TableNormal"/>
    <w:uiPriority w:val="39"/>
    <w:rsid w:val="00681B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43205"/>
    <w:pPr>
      <w:autoSpaceDE w:val="0"/>
      <w:autoSpaceDN w:val="0"/>
      <w:adjustRightInd w:val="0"/>
      <w:spacing w:after="0" w:line="240" w:lineRule="auto"/>
    </w:pPr>
    <w:rPr>
      <w:rFonts w:ascii="Calibri Light" w:hAnsi="Calibri Light" w:cs="Calibri Light"/>
      <w:color w:val="000000"/>
      <w:sz w:val="24"/>
      <w:szCs w:val="24"/>
    </w:rPr>
  </w:style>
  <w:style w:type="character" w:styleId="UnresolvedMention">
    <w:name w:val="Unresolved Mention"/>
    <w:basedOn w:val="DefaultParagraphFont"/>
    <w:uiPriority w:val="99"/>
    <w:semiHidden/>
    <w:unhideWhenUsed/>
    <w:rsid w:val="003D7DC4"/>
    <w:rPr>
      <w:color w:val="605E5C"/>
      <w:shd w:val="clear" w:color="auto" w:fill="E1DFDD"/>
    </w:rPr>
  </w:style>
  <w:style w:type="paragraph" w:styleId="CommentText">
    <w:name w:val="annotation text"/>
    <w:basedOn w:val="Normal"/>
    <w:link w:val="CommentTextChar"/>
    <w:uiPriority w:val="99"/>
    <w:unhideWhenUsed/>
    <w:rsid w:val="003D5247"/>
    <w:pPr>
      <w:spacing w:after="1" w:line="240" w:lineRule="auto"/>
      <w:ind w:left="10" w:hanging="10"/>
    </w:pPr>
    <w:rPr>
      <w:rFonts w:ascii="Calibri" w:eastAsia="Calibri" w:hAnsi="Calibri" w:cs="Calibri"/>
      <w:color w:val="000000"/>
      <w:sz w:val="20"/>
      <w:szCs w:val="20"/>
    </w:rPr>
  </w:style>
  <w:style w:type="character" w:customStyle="1" w:styleId="CommentTextChar">
    <w:name w:val="Comment Text Char"/>
    <w:basedOn w:val="DefaultParagraphFont"/>
    <w:link w:val="CommentText"/>
    <w:uiPriority w:val="99"/>
    <w:rsid w:val="003D5247"/>
    <w:rPr>
      <w:rFonts w:ascii="Calibri" w:eastAsia="Calibri" w:hAnsi="Calibri" w:cs="Calibri"/>
      <w:color w:val="000000"/>
      <w:sz w:val="20"/>
      <w:szCs w:val="20"/>
    </w:rPr>
  </w:style>
  <w:style w:type="character" w:customStyle="1" w:styleId="Heading4Char">
    <w:name w:val="Heading 4 Char"/>
    <w:basedOn w:val="DefaultParagraphFont"/>
    <w:link w:val="Heading4"/>
    <w:uiPriority w:val="9"/>
    <w:rsid w:val="00801A9B"/>
    <w:rPr>
      <w:rFonts w:asciiTheme="majorHAnsi" w:eastAsiaTheme="majorEastAsia" w:hAnsiTheme="majorHAnsi" w:cstheme="majorBidi"/>
      <w:i/>
      <w:iCs/>
      <w:color w:val="2F5496" w:themeColor="accent1" w:themeShade="BF"/>
    </w:rPr>
  </w:style>
  <w:style w:type="paragraph" w:styleId="CommentSubject">
    <w:name w:val="annotation subject"/>
    <w:basedOn w:val="CommentText"/>
    <w:next w:val="CommentText"/>
    <w:link w:val="CommentSubjectChar"/>
    <w:uiPriority w:val="99"/>
    <w:semiHidden/>
    <w:unhideWhenUsed/>
    <w:rsid w:val="00874AA0"/>
    <w:pPr>
      <w:spacing w:after="160"/>
      <w:ind w:left="0" w:firstLine="0"/>
    </w:pPr>
    <w:rPr>
      <w:rFonts w:asciiTheme="minorHAnsi" w:eastAsiaTheme="minorHAnsi" w:hAnsiTheme="minorHAnsi" w:cstheme="minorBidi"/>
      <w:b/>
      <w:bCs/>
      <w:color w:val="auto"/>
    </w:rPr>
  </w:style>
  <w:style w:type="character" w:customStyle="1" w:styleId="CommentSubjectChar">
    <w:name w:val="Comment Subject Char"/>
    <w:basedOn w:val="CommentTextChar"/>
    <w:link w:val="CommentSubject"/>
    <w:uiPriority w:val="99"/>
    <w:semiHidden/>
    <w:rsid w:val="00874AA0"/>
    <w:rPr>
      <w:rFonts w:ascii="Calibri" w:eastAsia="Calibri" w:hAnsi="Calibri" w:cs="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5652979">
      <w:bodyDiv w:val="1"/>
      <w:marLeft w:val="0"/>
      <w:marRight w:val="0"/>
      <w:marTop w:val="0"/>
      <w:marBottom w:val="0"/>
      <w:divBdr>
        <w:top w:val="none" w:sz="0" w:space="0" w:color="auto"/>
        <w:left w:val="none" w:sz="0" w:space="0" w:color="auto"/>
        <w:bottom w:val="none" w:sz="0" w:space="0" w:color="auto"/>
        <w:right w:val="none" w:sz="0" w:space="0" w:color="auto"/>
      </w:divBdr>
    </w:div>
    <w:div w:id="1102333551">
      <w:bodyDiv w:val="1"/>
      <w:marLeft w:val="0"/>
      <w:marRight w:val="0"/>
      <w:marTop w:val="0"/>
      <w:marBottom w:val="0"/>
      <w:divBdr>
        <w:top w:val="none" w:sz="0" w:space="0" w:color="auto"/>
        <w:left w:val="none" w:sz="0" w:space="0" w:color="auto"/>
        <w:bottom w:val="none" w:sz="0" w:space="0" w:color="auto"/>
        <w:right w:val="none" w:sz="0" w:space="0" w:color="auto"/>
      </w:divBdr>
    </w:div>
    <w:div w:id="1336810315">
      <w:bodyDiv w:val="1"/>
      <w:marLeft w:val="0"/>
      <w:marRight w:val="0"/>
      <w:marTop w:val="0"/>
      <w:marBottom w:val="0"/>
      <w:divBdr>
        <w:top w:val="none" w:sz="0" w:space="0" w:color="auto"/>
        <w:left w:val="none" w:sz="0" w:space="0" w:color="auto"/>
        <w:bottom w:val="none" w:sz="0" w:space="0" w:color="auto"/>
        <w:right w:val="none" w:sz="0" w:space="0" w:color="auto"/>
      </w:divBdr>
    </w:div>
    <w:div w:id="2045329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dx.doi.org/10.5066/F7P55KJ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AF586-052C-40A4-8E00-A338467FE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2301</TotalTime>
  <Pages>6</Pages>
  <Words>2503</Words>
  <Characters>14268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Soto Perez, Jeniffer</dc:creator>
  <cp:keywords/>
  <dc:description/>
  <cp:lastModifiedBy>Uebner, Maura Q</cp:lastModifiedBy>
  <cp:revision>24</cp:revision>
  <cp:lastPrinted>2023-02-03T21:01:00Z</cp:lastPrinted>
  <dcterms:created xsi:type="dcterms:W3CDTF">2023-01-05T21:48:00Z</dcterms:created>
  <dcterms:modified xsi:type="dcterms:W3CDTF">2023-03-16T22:51:00Z</dcterms:modified>
</cp:coreProperties>
</file>