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10FBE" w14:textId="77777777" w:rsidR="009F3A02" w:rsidRDefault="009F3A02" w:rsidP="009F3A02">
      <w:pPr>
        <w:pStyle w:val="Heading6"/>
      </w:pPr>
      <w:r>
        <w:t>Methods</w:t>
      </w:r>
    </w:p>
    <w:p w14:paraId="43A5C317" w14:textId="77777777" w:rsidR="009F3A02" w:rsidRDefault="009F3A02" w:rsidP="009F3A02">
      <w:pPr>
        <w:pStyle w:val="12space"/>
      </w:pPr>
      <w:r>
        <w:t>Field sampling by boat in Franks Tract occurred on July 14, August 9, and November 3, 2022. During each sampling event personnel collected handheld hyperspectral radiance and water quality data. The sampling method was designed to collect field data that would be comparable with satellite remote sensed data from Ocean Land Color Instrument (OLCI) on the Sentinel-3 A and B satellites. The hyperspectral field data were used to calculate non-dimensional surface reflectance (Rho</w:t>
      </w:r>
      <w:r>
        <w:rPr>
          <w:vertAlign w:val="subscript"/>
        </w:rPr>
        <w:t>s</w:t>
      </w:r>
      <w:r>
        <w:t xml:space="preserve">, </w:t>
      </w:r>
      <w:r w:rsidRPr="00163F4B">
        <w:rPr>
          <w:i/>
          <w:iCs/>
        </w:rPr>
        <w:t>ρ</w:t>
      </w:r>
      <w:r>
        <w:rPr>
          <w:i/>
          <w:iCs/>
          <w:vertAlign w:val="subscript"/>
        </w:rPr>
        <w:t>s</w:t>
      </w:r>
      <w:r>
        <w:t xml:space="preserve">), which can be compared to the reflectance values from the OLCI sensor. The water quality data were used to evaluate how different water quality parameters influence the shape of the </w:t>
      </w:r>
      <w:r w:rsidRPr="00163F4B">
        <w:rPr>
          <w:i/>
          <w:iCs/>
        </w:rPr>
        <w:t>ρ</w:t>
      </w:r>
      <w:r>
        <w:rPr>
          <w:i/>
          <w:iCs/>
          <w:vertAlign w:val="subscript"/>
        </w:rPr>
        <w:t>s</w:t>
      </w:r>
      <w:r>
        <w:t xml:space="preserve"> spectra.</w:t>
      </w:r>
    </w:p>
    <w:p w14:paraId="56C6C270" w14:textId="779A8944" w:rsidR="009F3A02" w:rsidRPr="00E860B4" w:rsidRDefault="009F3A02" w:rsidP="00E860B4">
      <w:pPr>
        <w:pStyle w:val="TableNoTitle"/>
        <w:jc w:val="left"/>
      </w:pPr>
      <w:bookmarkStart w:id="0" w:name="_Ref139888517"/>
      <w:r>
        <w:t xml:space="preserve">Table </w:t>
      </w:r>
      <w:r>
        <w:fldChar w:fldCharType="begin"/>
      </w:r>
      <w:r>
        <w:instrText>SEQ Table_2.3.2.14- \* ARABIC</w:instrText>
      </w:r>
      <w:r>
        <w:fldChar w:fldCharType="separate"/>
      </w:r>
      <w:r w:rsidRPr="477003EB">
        <w:rPr>
          <w:noProof/>
        </w:rPr>
        <w:t>1</w:t>
      </w:r>
      <w:r>
        <w:fldChar w:fldCharType="end"/>
      </w:r>
      <w:bookmarkEnd w:id="0"/>
      <w:r>
        <w:t xml:space="preserve">. </w:t>
      </w:r>
      <w:r w:rsidRPr="00E860B4">
        <w:rPr>
          <w:b w:val="0"/>
          <w:bCs/>
          <w:smallCaps w:val="0"/>
        </w:rPr>
        <w:t>Remote sensing algorithms calculated for Franks Tract. The first row shows the general equation, and subsequent rows identify the wavelengths that are used for each algorithm. The R</w:t>
      </w:r>
      <w:r w:rsidRPr="00E860B4">
        <w:rPr>
          <w:b w:val="0"/>
          <w:bCs/>
          <w:smallCaps w:val="0"/>
          <w:vertAlign w:val="subscript"/>
        </w:rPr>
        <w:t>λ±</w:t>
      </w:r>
      <w:r w:rsidRPr="00E860B4">
        <w:rPr>
          <w:b w:val="0"/>
          <w:bCs/>
          <w:smallCaps w:val="0"/>
        </w:rPr>
        <w:t xml:space="preserve"> variable in the general equation represents the SVC </w:t>
      </w:r>
      <w:r w:rsidR="00DD7992" w:rsidRPr="00E860B4">
        <w:rPr>
          <w:b w:val="0"/>
          <w:bCs/>
          <w:smallCaps w:val="0"/>
        </w:rPr>
        <w:t>(</w:t>
      </w:r>
      <w:r w:rsidR="00654E2A" w:rsidRPr="00E860B4">
        <w:rPr>
          <w:b w:val="0"/>
          <w:bCs/>
          <w:smallCaps w:val="0"/>
        </w:rPr>
        <w:t>Spectra Vista Corporation</w:t>
      </w:r>
      <w:r w:rsidR="1B82D8B5" w:rsidRPr="00E860B4">
        <w:rPr>
          <w:b w:val="0"/>
          <w:bCs/>
          <w:smallCaps w:val="0"/>
        </w:rPr>
        <w:t>)</w:t>
      </w:r>
      <w:r w:rsidR="00C72A24" w:rsidRPr="00E860B4">
        <w:rPr>
          <w:b w:val="0"/>
          <w:bCs/>
          <w:smallCaps w:val="0"/>
        </w:rPr>
        <w:t xml:space="preserve"> 512i spectroradiometer (Poughkeepsie, New York, USA)</w:t>
      </w:r>
      <w:r w:rsidR="00DD7992" w:rsidRPr="00E860B4">
        <w:rPr>
          <w:b w:val="0"/>
          <w:bCs/>
          <w:smallCaps w:val="0"/>
        </w:rPr>
        <w:t xml:space="preserve"> </w:t>
      </w:r>
      <w:r w:rsidRPr="00E860B4">
        <w:rPr>
          <w:b w:val="0"/>
          <w:bCs/>
          <w:smallCaps w:val="0"/>
        </w:rPr>
        <w:t xml:space="preserve">or OLCI </w:t>
      </w:r>
      <w:r w:rsidRPr="00E860B4">
        <w:rPr>
          <w:b w:val="0"/>
          <w:bCs/>
          <w:i/>
          <w:iCs/>
          <w:smallCaps w:val="0"/>
        </w:rPr>
        <w:t>ρ</w:t>
      </w:r>
      <w:r w:rsidRPr="00E860B4">
        <w:rPr>
          <w:b w:val="0"/>
          <w:bCs/>
          <w:i/>
          <w:iCs/>
          <w:smallCaps w:val="0"/>
          <w:vertAlign w:val="subscript"/>
        </w:rPr>
        <w:t>s</w:t>
      </w:r>
      <w:r w:rsidRPr="00E860B4">
        <w:rPr>
          <w:b w:val="0"/>
          <w:bCs/>
          <w:smallCaps w:val="0"/>
        </w:rPr>
        <w:t xml:space="preserve"> reflectance value at that wavelength. </w:t>
      </w:r>
    </w:p>
    <w:tbl>
      <w:tblPr>
        <w:tblStyle w:val="TableGrid"/>
        <w:tblW w:w="9445" w:type="dxa"/>
        <w:tblLook w:val="04A0" w:firstRow="1" w:lastRow="0" w:firstColumn="1" w:lastColumn="0" w:noHBand="0" w:noVBand="1"/>
      </w:tblPr>
      <w:tblGrid>
        <w:gridCol w:w="7195"/>
        <w:gridCol w:w="2250"/>
      </w:tblGrid>
      <w:tr w:rsidR="009F3A02" w:rsidRPr="009F495F" w14:paraId="5D90C310" w14:textId="77777777" w:rsidTr="00D211B4">
        <w:trPr>
          <w:trHeight w:val="530"/>
        </w:trPr>
        <w:tc>
          <w:tcPr>
            <w:tcW w:w="7195" w:type="dxa"/>
          </w:tcPr>
          <w:p w14:paraId="221E296B" w14:textId="77777777" w:rsidR="009F3A02" w:rsidRPr="00F54411" w:rsidRDefault="009F3A02" w:rsidP="00D211B4">
            <w:pPr>
              <w:pStyle w:val="12space"/>
              <w:rPr>
                <w:rFonts w:ascii="Arial" w:hAnsi="Arial" w:cs="Arial"/>
                <w:sz w:val="18"/>
                <w:szCs w:val="18"/>
              </w:rPr>
            </w:pPr>
            <w:r w:rsidRPr="00F54411">
              <w:rPr>
                <w:rFonts w:ascii="Arial" w:hAnsi="Arial" w:cs="Arial"/>
                <w:sz w:val="18"/>
                <w:szCs w:val="18"/>
              </w:rPr>
              <w:t>Algorithm</w:t>
            </w:r>
          </w:p>
        </w:tc>
        <w:tc>
          <w:tcPr>
            <w:tcW w:w="2250" w:type="dxa"/>
          </w:tcPr>
          <w:p w14:paraId="7A27A278" w14:textId="77777777" w:rsidR="009F3A02" w:rsidRPr="00F54411" w:rsidRDefault="009F3A02" w:rsidP="00D211B4">
            <w:pPr>
              <w:pStyle w:val="12space"/>
              <w:rPr>
                <w:rFonts w:ascii="Arial" w:hAnsi="Arial" w:cs="Arial"/>
                <w:sz w:val="18"/>
                <w:szCs w:val="18"/>
              </w:rPr>
            </w:pPr>
            <w:r w:rsidRPr="00F54411">
              <w:rPr>
                <w:rFonts w:ascii="Arial" w:hAnsi="Arial" w:cs="Arial"/>
                <w:sz w:val="18"/>
                <w:szCs w:val="18"/>
              </w:rPr>
              <w:t>Reference</w:t>
            </w:r>
          </w:p>
        </w:tc>
      </w:tr>
      <w:tr w:rsidR="009F3A02" w:rsidRPr="009F495F" w14:paraId="1351EC34" w14:textId="77777777" w:rsidTr="00D211B4">
        <w:trPr>
          <w:trHeight w:val="1030"/>
        </w:trPr>
        <w:tc>
          <w:tcPr>
            <w:tcW w:w="7195" w:type="dxa"/>
          </w:tcPr>
          <w:p w14:paraId="15982531" w14:textId="77777777" w:rsidR="009F3A02" w:rsidRPr="00CD61B7" w:rsidRDefault="009F3A02" w:rsidP="00D211B4">
            <w:pPr>
              <w:pStyle w:val="12space"/>
              <w:spacing w:before="120" w:after="120" w:line="240" w:lineRule="auto"/>
              <w:jc w:val="both"/>
              <w:rPr>
                <w:rFonts w:ascii="Arial" w:eastAsiaTheme="minorEastAsia" w:hAnsi="Arial" w:cs="Arial"/>
                <w:b/>
                <w:bCs/>
                <w:sz w:val="18"/>
                <w:szCs w:val="18"/>
              </w:rPr>
            </w:pPr>
            <w:r w:rsidRPr="00CD61B7">
              <w:rPr>
                <w:rFonts w:ascii="Arial" w:eastAsiaTheme="minorEastAsia" w:hAnsi="Arial" w:cs="Arial"/>
                <w:b/>
                <w:bCs/>
                <w:sz w:val="18"/>
                <w:szCs w:val="18"/>
              </w:rPr>
              <w:t xml:space="preserve">General </w:t>
            </w:r>
            <w:r>
              <w:rPr>
                <w:rFonts w:ascii="Arial" w:eastAsiaTheme="minorEastAsia" w:hAnsi="Arial" w:cs="Arial"/>
                <w:b/>
                <w:bCs/>
                <w:sz w:val="18"/>
                <w:szCs w:val="18"/>
              </w:rPr>
              <w:t>equation</w:t>
            </w:r>
            <w:r w:rsidRPr="00CD61B7">
              <w:rPr>
                <w:rFonts w:ascii="Arial" w:eastAsiaTheme="minorEastAsia" w:hAnsi="Arial" w:cs="Arial"/>
                <w:b/>
                <w:bCs/>
                <w:sz w:val="18"/>
                <w:szCs w:val="18"/>
              </w:rPr>
              <w:t xml:space="preserve"> </w:t>
            </w:r>
            <w:r>
              <w:rPr>
                <w:rFonts w:ascii="Arial" w:eastAsiaTheme="minorEastAsia" w:hAnsi="Arial" w:cs="Arial"/>
                <w:b/>
                <w:bCs/>
                <w:sz w:val="18"/>
                <w:szCs w:val="18"/>
              </w:rPr>
              <w:t>for</w:t>
            </w:r>
            <w:r w:rsidRPr="00CD61B7">
              <w:rPr>
                <w:rFonts w:ascii="Arial" w:eastAsiaTheme="minorEastAsia" w:hAnsi="Arial" w:cs="Arial"/>
                <w:b/>
                <w:bCs/>
                <w:sz w:val="18"/>
                <w:szCs w:val="18"/>
              </w:rPr>
              <w:t xml:space="preserve"> spectral shape algorithms:</w:t>
            </w:r>
          </w:p>
          <w:p w14:paraId="08D77D41" w14:textId="77777777" w:rsidR="009F3A02" w:rsidRPr="00F01188" w:rsidRDefault="009F3A02" w:rsidP="00D211B4">
            <w:pPr>
              <w:pStyle w:val="12space"/>
              <w:spacing w:before="120" w:after="120" w:line="240" w:lineRule="auto"/>
              <w:jc w:val="both"/>
              <w:rPr>
                <w:rFonts w:ascii="Arial" w:hAnsi="Arial" w:cs="Arial"/>
                <w:sz w:val="18"/>
                <w:szCs w:val="18"/>
              </w:rPr>
            </w:pPr>
            <m:oMathPara>
              <m:oMathParaPr>
                <m:jc m:val="left"/>
              </m:oMathParaPr>
              <m:oMath>
                <m:r>
                  <w:rPr>
                    <w:rFonts w:ascii="Cambria Math" w:hAnsi="Cambria Math" w:cs="Arial"/>
                    <w:sz w:val="18"/>
                    <w:szCs w:val="18"/>
                  </w:rPr>
                  <m:t>SS</m:t>
                </m:r>
                <m:d>
                  <m:dPr>
                    <m:ctrlPr>
                      <w:rPr>
                        <w:rFonts w:ascii="Cambria Math" w:hAnsi="Cambria Math" w:cs="Arial"/>
                        <w:i/>
                        <w:sz w:val="18"/>
                        <w:szCs w:val="18"/>
                      </w:rPr>
                    </m:ctrlPr>
                  </m:dPr>
                  <m:e>
                    <m:r>
                      <w:rPr>
                        <w:rFonts w:ascii="Cambria Math" w:hAnsi="Cambria Math" w:cs="Arial"/>
                        <w:sz w:val="18"/>
                        <w:szCs w:val="18"/>
                      </w:rPr>
                      <m:t>λ</m:t>
                    </m:r>
                  </m:e>
                </m:d>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λ</m:t>
                    </m:r>
                  </m:sub>
                </m:sSub>
                <m:r>
                  <w:rPr>
                    <w:rFonts w:ascii="Cambria Math"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R</m:t>
                    </m:r>
                  </m:e>
                  <m:sub>
                    <m:sSup>
                      <m:sSupPr>
                        <m:ctrlPr>
                          <w:rPr>
                            <w:rFonts w:ascii="Cambria Math" w:hAnsi="Cambria Math" w:cs="Arial"/>
                            <w:i/>
                            <w:sz w:val="18"/>
                            <w:szCs w:val="18"/>
                          </w:rPr>
                        </m:ctrlPr>
                      </m:sSupPr>
                      <m:e>
                        <m:r>
                          <w:rPr>
                            <w:rFonts w:ascii="Cambria Math" w:hAnsi="Cambria Math" w:cs="Arial"/>
                            <w:sz w:val="18"/>
                            <w:szCs w:val="18"/>
                          </w:rPr>
                          <m:t>λ</m:t>
                        </m:r>
                      </m:e>
                      <m:sup>
                        <m:r>
                          <w:rPr>
                            <w:rFonts w:ascii="Cambria Math" w:hAnsi="Cambria Math" w:cs="Arial"/>
                            <w:sz w:val="18"/>
                            <w:szCs w:val="18"/>
                          </w:rPr>
                          <m:t>-</m:t>
                        </m:r>
                      </m:sup>
                    </m:sSup>
                  </m:sub>
                </m:sSub>
                <m:r>
                  <w:rPr>
                    <w:rFonts w:ascii="Cambria Math" w:hAnsi="Cambria Math" w:cs="Arial"/>
                    <w:sz w:val="18"/>
                    <w:szCs w:val="18"/>
                  </w:rPr>
                  <m:t>+</m:t>
                </m:r>
                <m:d>
                  <m:dPr>
                    <m:ctrlPr>
                      <w:rPr>
                        <w:rFonts w:ascii="Cambria Math" w:hAnsi="Cambria Math" w:cs="Arial"/>
                        <w:i/>
                        <w:sz w:val="18"/>
                        <w:szCs w:val="18"/>
                      </w:rPr>
                    </m:ctrlPr>
                  </m:dPr>
                  <m:e>
                    <m:sSub>
                      <m:sSubPr>
                        <m:ctrlPr>
                          <w:rPr>
                            <w:rFonts w:ascii="Cambria Math" w:hAnsi="Cambria Math" w:cs="Arial"/>
                            <w:i/>
                            <w:sz w:val="18"/>
                            <w:szCs w:val="18"/>
                          </w:rPr>
                        </m:ctrlPr>
                      </m:sSubPr>
                      <m:e>
                        <m:r>
                          <w:rPr>
                            <w:rFonts w:ascii="Cambria Math" w:hAnsi="Cambria Math" w:cs="Arial"/>
                            <w:sz w:val="18"/>
                            <w:szCs w:val="18"/>
                          </w:rPr>
                          <m:t>R</m:t>
                        </m:r>
                      </m:e>
                      <m:sub>
                        <m:sSup>
                          <m:sSupPr>
                            <m:ctrlPr>
                              <w:rPr>
                                <w:rFonts w:ascii="Cambria Math" w:hAnsi="Cambria Math" w:cs="Arial"/>
                                <w:i/>
                                <w:sz w:val="18"/>
                                <w:szCs w:val="18"/>
                              </w:rPr>
                            </m:ctrlPr>
                          </m:sSupPr>
                          <m:e>
                            <m:r>
                              <w:rPr>
                                <w:rFonts w:ascii="Cambria Math" w:hAnsi="Cambria Math" w:cs="Arial"/>
                                <w:sz w:val="18"/>
                                <w:szCs w:val="18"/>
                              </w:rPr>
                              <m:t>λ</m:t>
                            </m:r>
                          </m:e>
                          <m:sup>
                            <m:r>
                              <w:rPr>
                                <w:rFonts w:ascii="Cambria Math" w:hAnsi="Cambria Math" w:cs="Arial"/>
                                <w:sz w:val="18"/>
                                <w:szCs w:val="18"/>
                              </w:rPr>
                              <m:t>-</m:t>
                            </m:r>
                          </m:sup>
                        </m:sSup>
                      </m:sub>
                    </m:sSub>
                    <m:r>
                      <w:rPr>
                        <w:rFonts w:ascii="Cambria Math"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R</m:t>
                        </m:r>
                      </m:e>
                      <m:sub>
                        <m:sSup>
                          <m:sSupPr>
                            <m:ctrlPr>
                              <w:rPr>
                                <w:rFonts w:ascii="Cambria Math" w:hAnsi="Cambria Math" w:cs="Arial"/>
                                <w:i/>
                                <w:sz w:val="18"/>
                                <w:szCs w:val="18"/>
                              </w:rPr>
                            </m:ctrlPr>
                          </m:sSupPr>
                          <m:e>
                            <m:r>
                              <w:rPr>
                                <w:rFonts w:ascii="Cambria Math" w:hAnsi="Cambria Math" w:cs="Arial"/>
                                <w:sz w:val="18"/>
                                <w:szCs w:val="18"/>
                              </w:rPr>
                              <m:t>λ</m:t>
                            </m:r>
                          </m:e>
                          <m:sup>
                            <m:r>
                              <w:rPr>
                                <w:rFonts w:ascii="Cambria Math" w:hAnsi="Cambria Math" w:cs="Arial"/>
                                <w:sz w:val="18"/>
                                <w:szCs w:val="18"/>
                              </w:rPr>
                              <m:t>+</m:t>
                            </m:r>
                          </m:sup>
                        </m:sSup>
                      </m:sub>
                    </m:sSub>
                  </m:e>
                </m:d>
                <m:r>
                  <w:rPr>
                    <w:rFonts w:ascii="Cambria Math" w:hAnsi="Cambria Math" w:cs="Arial"/>
                    <w:sz w:val="18"/>
                    <w:szCs w:val="18"/>
                  </w:rPr>
                  <m:t xml:space="preserve">× </m:t>
                </m:r>
                <m:d>
                  <m:dPr>
                    <m:ctrlPr>
                      <w:rPr>
                        <w:rFonts w:ascii="Cambria Math" w:hAnsi="Cambria Math" w:cs="Arial"/>
                        <w:i/>
                        <w:sz w:val="18"/>
                        <w:szCs w:val="18"/>
                      </w:rPr>
                    </m:ctrlPr>
                  </m:dPr>
                  <m:e>
                    <m:f>
                      <m:fPr>
                        <m:ctrlPr>
                          <w:rPr>
                            <w:rFonts w:ascii="Cambria Math" w:hAnsi="Cambria Math" w:cs="Arial"/>
                            <w:i/>
                            <w:sz w:val="18"/>
                            <w:szCs w:val="18"/>
                          </w:rPr>
                        </m:ctrlPr>
                      </m:fPr>
                      <m:num>
                        <m:r>
                          <w:rPr>
                            <w:rFonts w:ascii="Cambria Math" w:hAnsi="Cambria Math" w:cs="Arial"/>
                            <w:sz w:val="18"/>
                            <w:szCs w:val="18"/>
                          </w:rPr>
                          <m:t>λ-</m:t>
                        </m:r>
                        <m:sSup>
                          <m:sSupPr>
                            <m:ctrlPr>
                              <w:rPr>
                                <w:rFonts w:ascii="Cambria Math" w:hAnsi="Cambria Math" w:cs="Arial"/>
                                <w:i/>
                                <w:sz w:val="18"/>
                                <w:szCs w:val="18"/>
                              </w:rPr>
                            </m:ctrlPr>
                          </m:sSupPr>
                          <m:e>
                            <m:r>
                              <w:rPr>
                                <w:rFonts w:ascii="Cambria Math" w:hAnsi="Cambria Math" w:cs="Arial"/>
                                <w:sz w:val="18"/>
                                <w:szCs w:val="18"/>
                              </w:rPr>
                              <m:t>λ</m:t>
                            </m:r>
                          </m:e>
                          <m:sup>
                            <m:r>
                              <w:rPr>
                                <w:rFonts w:ascii="Cambria Math" w:hAnsi="Cambria Math" w:cs="Arial"/>
                                <w:sz w:val="18"/>
                                <w:szCs w:val="18"/>
                              </w:rPr>
                              <m:t>-</m:t>
                            </m:r>
                          </m:sup>
                        </m:sSup>
                      </m:num>
                      <m:den>
                        <m:sSup>
                          <m:sSupPr>
                            <m:ctrlPr>
                              <w:rPr>
                                <w:rFonts w:ascii="Cambria Math" w:hAnsi="Cambria Math" w:cs="Arial"/>
                                <w:i/>
                                <w:sz w:val="18"/>
                                <w:szCs w:val="18"/>
                              </w:rPr>
                            </m:ctrlPr>
                          </m:sSupPr>
                          <m:e>
                            <m:r>
                              <w:rPr>
                                <w:rFonts w:ascii="Cambria Math" w:hAnsi="Cambria Math" w:cs="Arial"/>
                                <w:sz w:val="18"/>
                                <w:szCs w:val="18"/>
                              </w:rPr>
                              <m:t>λ</m:t>
                            </m:r>
                          </m:e>
                          <m:sup>
                            <m:r>
                              <w:rPr>
                                <w:rFonts w:ascii="Cambria Math" w:hAnsi="Cambria Math" w:cs="Arial"/>
                                <w:sz w:val="18"/>
                                <w:szCs w:val="18"/>
                              </w:rPr>
                              <m:t>+</m:t>
                            </m:r>
                          </m:sup>
                        </m:sSup>
                        <m:r>
                          <w:rPr>
                            <w:rFonts w:ascii="Cambria Math" w:hAnsi="Cambria Math" w:cs="Arial"/>
                            <w:sz w:val="18"/>
                            <w:szCs w:val="18"/>
                          </w:rPr>
                          <m:t>-</m:t>
                        </m:r>
                        <m:sSup>
                          <m:sSupPr>
                            <m:ctrlPr>
                              <w:rPr>
                                <w:rFonts w:ascii="Cambria Math" w:hAnsi="Cambria Math" w:cs="Arial"/>
                                <w:i/>
                                <w:sz w:val="18"/>
                                <w:szCs w:val="18"/>
                              </w:rPr>
                            </m:ctrlPr>
                          </m:sSupPr>
                          <m:e>
                            <m:r>
                              <w:rPr>
                                <w:rFonts w:ascii="Cambria Math" w:hAnsi="Cambria Math" w:cs="Arial"/>
                                <w:sz w:val="18"/>
                                <w:szCs w:val="18"/>
                              </w:rPr>
                              <m:t>λ</m:t>
                            </m:r>
                          </m:e>
                          <m:sup>
                            <m:r>
                              <w:rPr>
                                <w:rFonts w:ascii="Cambria Math" w:hAnsi="Cambria Math" w:cs="Arial"/>
                                <w:sz w:val="18"/>
                                <w:szCs w:val="18"/>
                              </w:rPr>
                              <m:t>-</m:t>
                            </m:r>
                          </m:sup>
                        </m:sSup>
                      </m:den>
                    </m:f>
                  </m:e>
                </m:d>
              </m:oMath>
            </m:oMathPara>
          </w:p>
        </w:tc>
        <w:tc>
          <w:tcPr>
            <w:tcW w:w="2250" w:type="dxa"/>
          </w:tcPr>
          <w:p w14:paraId="4DECDFC8" w14:textId="77777777" w:rsidR="009F3A02" w:rsidRPr="00F01188" w:rsidRDefault="009F3A02" w:rsidP="00D211B4">
            <w:pPr>
              <w:pStyle w:val="12space"/>
              <w:spacing w:before="120" w:after="120" w:line="240" w:lineRule="auto"/>
              <w:jc w:val="both"/>
              <w:rPr>
                <w:rFonts w:ascii="Arial" w:hAnsi="Arial" w:cs="Arial"/>
                <w:sz w:val="18"/>
                <w:szCs w:val="18"/>
              </w:rPr>
            </w:pPr>
            <w:r w:rsidRPr="00F01188">
              <w:rPr>
                <w:rFonts w:ascii="Arial" w:hAnsi="Arial" w:cs="Arial"/>
                <w:sz w:val="18"/>
                <w:szCs w:val="18"/>
              </w:rPr>
              <w:fldChar w:fldCharType="begin"/>
            </w:r>
            <w:r w:rsidRPr="00F01188">
              <w:rPr>
                <w:rFonts w:ascii="Arial" w:hAnsi="Arial" w:cs="Arial"/>
                <w:sz w:val="18"/>
                <w:szCs w:val="18"/>
              </w:rPr>
              <w:instrText xml:space="preserve"> ADDIN ZOTERO_ITEM CSL_CITATION {"citationID":"2bl7vH3C","properties":{"formattedCitation":"(Stumpf et al., 2016)","plainCitation":"(Stumpf et al., 2016)","noteIndex":0},"citationItems":[{"id":189,"uris":["http://zotero.org/users/6561400/items/RTRN3YXI"],"itemData":{"id":189,"type":"article-journal","abstract":"Using satellite imagery to quantify the spatial patterns of cyanobacterial toxins has several challenges. These challenges include the need for surrogate pigments – since cyanotoxins cannot be directly detected by remote sensing, the variability in the relationship between the pigments and cyanotoxins –especially microcystins (MC), and the lack of standardization of the various measurement methods. A dual-model strategy can provide an approach to address these challenges. One model uses either chlorophyll-a (Chl-a) or phycocyanin (PC) collected in situ as a surrogate to estimate the MC concentration. The other uses a remote sensing algorithm to estimate the concentration of the surrogate pigment. Where blooms are mixtures of cyanobacteria and eukaryotic algae, PC should be the preferred surrogate to Chl-a. Where cyanobacteria dominate, Chl-a is a better surrogate than PC for remote sensing. Phycocyanin is less sensitive to detection by optical remote sensing, it is less frequently measured, PC laboratory methods are still not standardized, and PC has greater intracellular variability. Either pigment should not be presumed to have a ﬁxed relationship with MC for any water body. The MCpigment relationship can be valid over weeks, but have considerable intra- and inter-annual variability due to changes in the amount of MC produced relative to cyanobacterial biomass. To detect pigments by satellite, three classes of algorithms (analytic, semi-analytic, and derivative) have been used. Analytical and semi-analytical algorithms are more sensitive but less robust than derivatives because they depend on accurate atmospheric correction; as a result derivatives are more commonly used. Derivatives can estimate Chl-a concentration, and research suggests they can detect and possibly quantify PC. Derivative algorithms, however, need to be standardized in order to evaluate the reproducibility of parameterizations between lakes. A strategy for producing useful estimates of microcystins from cyanobacterial biomass is described, provided cyanotoxin variability is addressed.","container-title":"Harmful Algae","DOI":"10.1016/j.hal.2016.01.005","ISSN":"15689883","journalAbbreviation":"Harmful Algae","language":"en","page":"160-173","source":"DOI.org (Crossref)","title":"Challenges for mapping cyanotoxin patterns from remote sensing of cyanobacteria","volume":"54","author":[{"family":"Stumpf","given":"Richard P."},{"family":"Davis","given":"Timothy W."},{"family":"Wynne","given":"Timothy T."},{"family":"Graham","given":"Jennifer L."},{"family":"Loftin","given":"Keith A."},{"family":"Johengen","given":"Thomas H."},{"family":"Gossiaux","given":"Duane"},{"family":"Palladino","given":"Danna"},{"family":"Burtner","given":"Ashley"}],"issued":{"date-parts":[["2016",4]]}}}],"schema":"https://github.com/citation-style-language/schema/raw/master/csl-citation.json"} </w:instrText>
            </w:r>
            <w:r w:rsidRPr="00F01188">
              <w:rPr>
                <w:rFonts w:ascii="Arial" w:hAnsi="Arial" w:cs="Arial"/>
                <w:sz w:val="18"/>
                <w:szCs w:val="18"/>
              </w:rPr>
              <w:fldChar w:fldCharType="separate"/>
            </w:r>
            <w:r w:rsidRPr="00F01188">
              <w:rPr>
                <w:rFonts w:ascii="Arial" w:hAnsi="Arial" w:cs="Arial"/>
                <w:sz w:val="18"/>
                <w:szCs w:val="18"/>
              </w:rPr>
              <w:t>(Stumpf et al., 2016)</w:t>
            </w:r>
            <w:r w:rsidRPr="00F01188">
              <w:rPr>
                <w:rFonts w:ascii="Arial" w:hAnsi="Arial" w:cs="Arial"/>
                <w:sz w:val="18"/>
                <w:szCs w:val="18"/>
              </w:rPr>
              <w:fldChar w:fldCharType="end"/>
            </w:r>
          </w:p>
        </w:tc>
      </w:tr>
      <w:tr w:rsidR="009F3A02" w:rsidRPr="009F495F" w14:paraId="65431061" w14:textId="77777777" w:rsidTr="00D211B4">
        <w:trPr>
          <w:trHeight w:val="1030"/>
        </w:trPr>
        <w:tc>
          <w:tcPr>
            <w:tcW w:w="7195" w:type="dxa"/>
          </w:tcPr>
          <w:p w14:paraId="48DF339F" w14:textId="687697B1" w:rsidR="009F3A02" w:rsidRPr="00F01188" w:rsidRDefault="009F3A02" w:rsidP="00FD2B59">
            <w:pPr>
              <w:pStyle w:val="12space"/>
              <w:tabs>
                <w:tab w:val="center" w:pos="3489"/>
              </w:tabs>
              <w:spacing w:before="120" w:after="120" w:line="240" w:lineRule="auto"/>
              <w:jc w:val="both"/>
              <w:rPr>
                <w:rFonts w:ascii="Arial" w:hAnsi="Arial" w:cs="Arial"/>
                <w:b/>
                <w:bCs/>
                <w:sz w:val="18"/>
                <w:szCs w:val="18"/>
              </w:rPr>
            </w:pPr>
            <w:r w:rsidRPr="00F01188">
              <w:rPr>
                <w:rFonts w:ascii="Arial" w:hAnsi="Arial" w:cs="Arial"/>
                <w:b/>
                <w:bCs/>
                <w:sz w:val="18"/>
                <w:szCs w:val="18"/>
              </w:rPr>
              <w:t>Cyanobacterial Index (CI)</w:t>
            </w:r>
            <w:r w:rsidR="00FD2B59">
              <w:rPr>
                <w:rFonts w:ascii="Arial" w:hAnsi="Arial" w:cs="Arial"/>
                <w:b/>
                <w:bCs/>
                <w:sz w:val="18"/>
                <w:szCs w:val="18"/>
              </w:rPr>
              <w:tab/>
            </w:r>
          </w:p>
          <w:p w14:paraId="35CC4576" w14:textId="77777777" w:rsidR="009F3A02" w:rsidRPr="002719F3" w:rsidRDefault="009F3A02" w:rsidP="00D211B4">
            <w:pPr>
              <w:pStyle w:val="12space"/>
              <w:spacing w:before="120" w:after="120" w:line="240" w:lineRule="auto"/>
              <w:jc w:val="both"/>
              <w:rPr>
                <w:rFonts w:ascii="Arial" w:eastAsiaTheme="minorEastAsia" w:hAnsi="Arial" w:cs="Arial"/>
                <w:sz w:val="18"/>
                <w:szCs w:val="18"/>
              </w:rPr>
            </w:pPr>
            <m:oMathPara>
              <m:oMathParaPr>
                <m:jc m:val="left"/>
              </m:oMathParaPr>
              <m:oMath>
                <m:r>
                  <w:rPr>
                    <w:rFonts w:ascii="Cambria Math" w:hAnsi="Cambria Math" w:cs="Arial"/>
                    <w:sz w:val="18"/>
                    <w:szCs w:val="18"/>
                  </w:rPr>
                  <m:t>CI=SS</m:t>
                </m:r>
                <m:d>
                  <m:dPr>
                    <m:ctrlPr>
                      <w:rPr>
                        <w:rFonts w:ascii="Cambria Math" w:hAnsi="Cambria Math" w:cs="Arial"/>
                        <w:i/>
                        <w:sz w:val="18"/>
                        <w:szCs w:val="18"/>
                      </w:rPr>
                    </m:ctrlPr>
                  </m:dPr>
                  <m:e>
                    <m:r>
                      <w:rPr>
                        <w:rFonts w:ascii="Cambria Math" w:hAnsi="Cambria Math" w:cs="Arial"/>
                        <w:sz w:val="18"/>
                        <w:szCs w:val="18"/>
                      </w:rPr>
                      <m:t>681</m:t>
                    </m:r>
                  </m:e>
                </m:d>
                <m:r>
                  <w:rPr>
                    <w:rFonts w:ascii="Cambria Math" w:hAnsi="Cambria Math" w:cs="Arial"/>
                    <w:sz w:val="18"/>
                    <w:szCs w:val="18"/>
                  </w:rPr>
                  <m:t xml:space="preserve">× -1 </m:t>
                </m:r>
              </m:oMath>
            </m:oMathPara>
          </w:p>
          <w:p w14:paraId="78918C84" w14:textId="77777777" w:rsidR="009F3A02" w:rsidRPr="002719F3" w:rsidRDefault="009F3A02" w:rsidP="00D211B4">
            <w:pPr>
              <w:pStyle w:val="12space"/>
              <w:spacing w:before="120" w:after="120" w:line="240" w:lineRule="auto"/>
              <w:jc w:val="both"/>
              <w:rPr>
                <w:rFonts w:ascii="Arial" w:eastAsiaTheme="minorEastAsia" w:hAnsi="Arial" w:cs="Arial"/>
                <w:sz w:val="18"/>
                <w:szCs w:val="18"/>
              </w:rPr>
            </w:pPr>
            <w:r w:rsidRPr="00F01188">
              <w:rPr>
                <w:rFonts w:ascii="Arial" w:hAnsi="Arial" w:cs="Arial"/>
                <w:sz w:val="18"/>
                <w:szCs w:val="18"/>
              </w:rPr>
              <w:t>λ</w:t>
            </w:r>
            <w:r>
              <w:rPr>
                <w:rFonts w:ascii="Arial" w:hAnsi="Arial" w:cs="Arial"/>
                <w:sz w:val="18"/>
                <w:szCs w:val="18"/>
                <w:vertAlign w:val="superscript"/>
              </w:rPr>
              <w:t>–</w:t>
            </w:r>
            <w:r w:rsidRPr="00F01188">
              <w:rPr>
                <w:rFonts w:ascii="Arial" w:hAnsi="Arial" w:cs="Arial"/>
                <w:sz w:val="18"/>
                <w:szCs w:val="18"/>
              </w:rPr>
              <w:t xml:space="preserve"> = 665, λ = 681, λ</w:t>
            </w:r>
            <w:r>
              <w:rPr>
                <w:rFonts w:ascii="Arial" w:hAnsi="Arial" w:cs="Arial"/>
                <w:sz w:val="18"/>
                <w:szCs w:val="18"/>
                <w:vertAlign w:val="superscript"/>
              </w:rPr>
              <w:t>+</w:t>
            </w:r>
            <w:r w:rsidRPr="00F01188">
              <w:rPr>
                <w:rFonts w:ascii="Arial" w:hAnsi="Arial" w:cs="Arial"/>
                <w:sz w:val="18"/>
                <w:szCs w:val="18"/>
              </w:rPr>
              <w:t xml:space="preserve"> = 709 </w:t>
            </w:r>
          </w:p>
        </w:tc>
        <w:tc>
          <w:tcPr>
            <w:tcW w:w="2250" w:type="dxa"/>
          </w:tcPr>
          <w:p w14:paraId="02C89D31" w14:textId="77777777" w:rsidR="009F3A02" w:rsidRPr="00F01188" w:rsidRDefault="009F3A02" w:rsidP="00D211B4">
            <w:pPr>
              <w:pStyle w:val="12space"/>
              <w:spacing w:before="120" w:after="120" w:line="240" w:lineRule="auto"/>
              <w:jc w:val="both"/>
              <w:rPr>
                <w:rFonts w:ascii="Arial" w:hAnsi="Arial" w:cs="Arial"/>
                <w:sz w:val="18"/>
                <w:szCs w:val="18"/>
              </w:rPr>
            </w:pPr>
            <w:r w:rsidRPr="00F01188">
              <w:rPr>
                <w:rFonts w:ascii="Arial" w:hAnsi="Arial" w:cs="Arial"/>
                <w:sz w:val="18"/>
                <w:szCs w:val="18"/>
              </w:rPr>
              <w:fldChar w:fldCharType="begin"/>
            </w:r>
            <w:r w:rsidRPr="00F01188">
              <w:rPr>
                <w:rFonts w:ascii="Arial" w:hAnsi="Arial" w:cs="Arial"/>
                <w:sz w:val="18"/>
                <w:szCs w:val="18"/>
              </w:rPr>
              <w:instrText xml:space="preserve"> ADDIN ZOTERO_ITEM CSL_CITATION {"citationID":"kSfqDWUL","properties":{"formattedCitation":"(Wynne et al., 2008)","plainCitation":"(Wynne et al., 2008)","noteIndex":0},"citationItems":[{"id":340,"uris":["http://zotero.org/users/6561400/items/QUAHMFLV"],"itemData":{"id":340,"type":"article-journal","container-title":"International Journal of Remote Sensing","DOI":"10.1080/01431160802007640","ISSN":"0143-1161, 1366-5901","issue":"12","journalAbbreviation":"International Journal of Remote Sensing","language":"en","page":"3665-3672","source":"DOI.org (Crossref)","title":"Relating spectral shape to cyanobacterial blooms in the Laurentian Great Lakes","volume":"29","author":[{"family":"Wynne","given":"T. T."},{"family":"Stumpf","given":"R. P."},{"family":"Tomlinson","given":"M. C."},{"family":"Warner","given":"R. A."},{"family":"Tester","given":"P. A."},{"family":"Dyble","given":"J."},{"family":"Fahnenstiel","given":"G. L."}],"issued":{"date-parts":[["2008",6,15]]}}}],"schema":"https://github.com/citation-style-language/schema/raw/master/csl-citation.json"} </w:instrText>
            </w:r>
            <w:r w:rsidRPr="00F01188">
              <w:rPr>
                <w:rFonts w:ascii="Arial" w:hAnsi="Arial" w:cs="Arial"/>
                <w:sz w:val="18"/>
                <w:szCs w:val="18"/>
              </w:rPr>
              <w:fldChar w:fldCharType="separate"/>
            </w:r>
            <w:r w:rsidRPr="00F01188">
              <w:rPr>
                <w:rFonts w:ascii="Arial" w:hAnsi="Arial" w:cs="Arial"/>
                <w:sz w:val="18"/>
                <w:szCs w:val="18"/>
              </w:rPr>
              <w:t>(Wynne et al., 2008)</w:t>
            </w:r>
            <w:r w:rsidRPr="00F01188">
              <w:rPr>
                <w:rFonts w:ascii="Arial" w:hAnsi="Arial" w:cs="Arial"/>
                <w:sz w:val="18"/>
                <w:szCs w:val="18"/>
              </w:rPr>
              <w:fldChar w:fldCharType="end"/>
            </w:r>
          </w:p>
        </w:tc>
      </w:tr>
      <w:tr w:rsidR="009F3A02" w:rsidRPr="009F495F" w14:paraId="0365AAFD" w14:textId="77777777" w:rsidTr="00D211B4">
        <w:trPr>
          <w:trHeight w:val="1030"/>
        </w:trPr>
        <w:tc>
          <w:tcPr>
            <w:tcW w:w="7195" w:type="dxa"/>
          </w:tcPr>
          <w:p w14:paraId="58D84031" w14:textId="77777777" w:rsidR="009F3A02" w:rsidRPr="00F01188" w:rsidRDefault="009F3A02" w:rsidP="00D211B4">
            <w:pPr>
              <w:pStyle w:val="12space"/>
              <w:spacing w:before="120" w:after="120" w:line="240" w:lineRule="auto"/>
              <w:jc w:val="both"/>
              <w:rPr>
                <w:rFonts w:ascii="Arial" w:hAnsi="Arial" w:cs="Arial"/>
                <w:b/>
                <w:bCs/>
                <w:sz w:val="18"/>
                <w:szCs w:val="18"/>
              </w:rPr>
            </w:pPr>
            <w:r w:rsidRPr="00F01188">
              <w:rPr>
                <w:rFonts w:ascii="Arial" w:hAnsi="Arial" w:cs="Arial"/>
                <w:b/>
                <w:bCs/>
                <w:sz w:val="18"/>
                <w:szCs w:val="18"/>
              </w:rPr>
              <w:t>SS(665)</w:t>
            </w:r>
          </w:p>
          <w:p w14:paraId="7B23784E" w14:textId="77777777" w:rsidR="009F3A02" w:rsidRPr="00F01188" w:rsidRDefault="009F3A02" w:rsidP="00D211B4">
            <w:pPr>
              <w:pStyle w:val="12space"/>
              <w:spacing w:before="120" w:after="120" w:line="240" w:lineRule="auto"/>
              <w:jc w:val="both"/>
              <w:rPr>
                <w:rFonts w:ascii="Arial" w:hAnsi="Arial" w:cs="Arial"/>
                <w:sz w:val="18"/>
                <w:szCs w:val="18"/>
              </w:rPr>
            </w:pPr>
            <w:r w:rsidRPr="00F01188">
              <w:rPr>
                <w:rFonts w:ascii="Arial" w:hAnsi="Arial" w:cs="Arial"/>
                <w:sz w:val="18"/>
                <w:szCs w:val="18"/>
              </w:rPr>
              <w:t>λ</w:t>
            </w:r>
            <w:r>
              <w:rPr>
                <w:rFonts w:ascii="Arial" w:hAnsi="Arial" w:cs="Arial"/>
                <w:sz w:val="18"/>
                <w:szCs w:val="18"/>
                <w:vertAlign w:val="superscript"/>
              </w:rPr>
              <w:t>–</w:t>
            </w:r>
            <w:r w:rsidRPr="00F01188">
              <w:rPr>
                <w:rFonts w:ascii="Arial" w:hAnsi="Arial" w:cs="Arial"/>
                <w:sz w:val="18"/>
                <w:szCs w:val="18"/>
              </w:rPr>
              <w:t xml:space="preserve"> = 620, λ = 665, λ</w:t>
            </w:r>
            <w:r>
              <w:rPr>
                <w:rFonts w:ascii="Arial" w:hAnsi="Arial" w:cs="Arial"/>
                <w:sz w:val="18"/>
                <w:szCs w:val="18"/>
                <w:vertAlign w:val="superscript"/>
              </w:rPr>
              <w:t>+</w:t>
            </w:r>
            <w:r w:rsidRPr="00F01188">
              <w:rPr>
                <w:rFonts w:ascii="Arial" w:hAnsi="Arial" w:cs="Arial"/>
                <w:sz w:val="18"/>
                <w:szCs w:val="18"/>
              </w:rPr>
              <w:t xml:space="preserve"> = 681</w:t>
            </w:r>
          </w:p>
        </w:tc>
        <w:tc>
          <w:tcPr>
            <w:tcW w:w="2250" w:type="dxa"/>
          </w:tcPr>
          <w:p w14:paraId="1ACB46BE" w14:textId="77777777" w:rsidR="009F3A02" w:rsidRPr="00F01188" w:rsidRDefault="009F3A02" w:rsidP="00D211B4">
            <w:pPr>
              <w:pStyle w:val="12space"/>
              <w:spacing w:before="120" w:after="120" w:line="240" w:lineRule="auto"/>
              <w:jc w:val="both"/>
              <w:rPr>
                <w:rFonts w:ascii="Arial" w:hAnsi="Arial" w:cs="Arial"/>
                <w:sz w:val="18"/>
                <w:szCs w:val="18"/>
              </w:rPr>
            </w:pPr>
            <w:r w:rsidRPr="00F01188">
              <w:rPr>
                <w:rFonts w:ascii="Arial" w:hAnsi="Arial" w:cs="Arial"/>
                <w:sz w:val="18"/>
                <w:szCs w:val="18"/>
              </w:rPr>
              <w:fldChar w:fldCharType="begin"/>
            </w:r>
            <w:r w:rsidRPr="00F01188">
              <w:rPr>
                <w:rFonts w:ascii="Arial" w:hAnsi="Arial" w:cs="Arial"/>
                <w:sz w:val="18"/>
                <w:szCs w:val="18"/>
              </w:rPr>
              <w:instrText xml:space="preserve"> ADDIN ZOTERO_ITEM CSL_CITATION {"citationID":"I0hxJUNH","properties":{"formattedCitation":"(Matthews et al., 2012; Lunetta et al., 2015)","plainCitation":"(Matthews et al., 2012; Lunetta et al., 2015)","noteIndex":0},"citationItems":[{"id":1896,"uris":["http://zotero.org/users/6561400/items/Z8AUERR6"],"itemData":{"id":1896,"type":"article-journal","abstract":"A novel algorithm is presented for detecting trophic status (chlorophyll-a), cyanobacterial blooms, surface scum and ﬂoating vegetation in coastal and inland waters using top-of-atmosphere data from the Medium Resolution Imaging Spectrometer (MERIS). The maximum peak-height algorithm (MPH) uses a baseline subtraction procedure to calculate the height of the dominant peak across the red and near-infrared MERIS bands between 664 and 885 nm caused by sun-induced chlorophyll ﬂuorescence (SICF) and particulate backscatter. Atmospheric correction of the MERIS TOA reﬂectance data for gaseous absorption and Rayleigh scattering proved adequate given the spectral proximity of the relevant bands and the sufﬁciently large differential spectral signal. This avoided the need to correct for atmospheric aerosols, a procedure which is typically prone to large errors in turbid and high-biomass waters. A combination of switching algorithms for estimating chl-a were derived from coincident in situ chl-a and MERIS bottom-of-Rayleigh reﬂectance measurements. These algorithms are designed to cover a wide trophic range, from oligotrophic/mesotrophic waters (chl-ab20 mg m−3), to eutrophic/hypertrophic waters (chl-a&gt;20 mg m−3) and surface scums or dry ﬂoating algae or vegetation. Cyanobacteria-dominant waters were differentiated from those dominated by eukaryote algal species (dinoﬂagellates/diatoms) on the basis of the magnitude of the MPH variable. This is supported by evidence that vacuolate cyanobacteria (Microcystis aeruginosa) possess enhanced chl-a speciﬁc backscatter which is an important bio-optical distinguishing feature. This enables these phytoplankton groups to be distinguished from space. An algorithm derived from cyanobacteria-dominant waters had a r2 value of 0.58 for chl-a between 33 and 362 mg m−3 and an error of 33.7% (N=17). The operational algorithm for eukaryote-dominant algal assemblages gave a coefﬁcient of determination of 0.71 and a mean absolute percentage error of 60% for chl-a in the range 0.5–350 mg m−3 (N=48). A ﬂag based on cyanobacteria-speciﬁc spectral pigmentation and ﬂuorescence features was used to identify cyanobacterial-dominance in eutrophic waters. Global applications demonstrate how the MPH algorithm can offer rapid and effective assessment of trophic status, cyanobacterial-dominance, surface scums and ﬂoating vegetation in inland and coastal waters. © 2012 Elsevier Inc. All rights reserved.","container-title":"Remote Sensing of Environment","DOI":"10.1016/j.rse.2012.05.032","ISSN":"00344257","language":"en","page":"637-652","source":"Crossref","title":"An algorithm for detecting trophic status (chlorophyll-a), cyanobacterial-dominance, surface scums and floating vegetation in inland and coastal waters","volume":"124","author":[{"family":"Matthews","given":"Mark William"},{"family":"Bernard","given":"Stewart"},{"family":"Robertson","given":"Lisl"}],"issued":{"date-parts":[["2012",9]]}}},{"id":344,"uris":["http://zotero.org/users/6561400/items/LF7SM5RZ"],"itemData":{"id":344,"type":"article-journal","abstract":"Inland waters across the United States (US) are at potential risk for increased outbreaks of toxic cyanobacteria blooms events resulting from elevated water temperatures and extreme hydrologic events attributable to climate change and increased nutrient loadings associated with intensive agricultural practices. Current monitoring efforts are limited in scope due to resource limitations, analytical complexity, and data integration efforts. The goals of this study were to validate an algorithm for satellite imagery that could potentially be used to monitor surface cyanobacteria events in near real-time to provide a compressive monitoring capability for freshwater lakes (N 100 ha). The algorithm incorporated narrow spectral bands speciﬁc to the European Space Agency's (ESA's) MEdium Resolution Imaging Spectrometer (MERIS) instrument that were optimally oriented at phytoplankton pigment absorption features including phycocyanin at 620 nm. A validation of derived cyanobacteria cell counts was performed using available in situ data assembled from existing monitoring programs across eight states in the eastern US over a 39-month period (2009–2012). Results indicated that MERIS provided robust estimates for low (10,000–109,000 cells/mL) and very high (N 1,000,000 cells/mL) cell enumeration ranges (approximately 90% and 83%, respectively). However, the results for two intermediate ranges (110,000–299,000 and 300,000–1,000,000 cells/mL) were substandard, at approximately 28% and 40%, respectively. The confusion associated with intermediate cyanobacteria cell count ranges was largely attributed to the lack of available taxonomic data and distinction of natural counting units for the in situ measurements that would have facilitated conversions between cell counts and cell volumes. The results of this study document the potential for using MERISderived cyanobacteria cell count estimates to monitor freshwater lakes (N100 ha) across the eastern US.","container-title":"Remote Sensing of Environment","DOI":"10.1016/j.rse.2014.06.008","ISSN":"00344257","journalAbbreviation":"Remote Sensing of Environment","language":"en","page":"24-34","source":"DOI.org (Crossref)","title":"Evaluation of cyanobacteria cell count detection derived from MERIS imagery across the eastern USA","volume":"157","author":[{"family":"Lunetta","given":"Ross S."},{"family":"Schaeffer","given":"Blake A."},{"family":"Stumpf","given":"Richard P."},{"family":"Keith","given":"Darryl"},{"family":"Jacobs","given":"Scott A."},{"family":"Murphy","given":"Mark S."}],"issued":{"date-parts":[["2015",2]]}}}],"schema":"https://github.com/citation-style-language/schema/raw/master/csl-citation.json"} </w:instrText>
            </w:r>
            <w:r w:rsidRPr="00F01188">
              <w:rPr>
                <w:rFonts w:ascii="Arial" w:hAnsi="Arial" w:cs="Arial"/>
                <w:sz w:val="18"/>
                <w:szCs w:val="18"/>
              </w:rPr>
              <w:fldChar w:fldCharType="separate"/>
            </w:r>
            <w:r w:rsidRPr="00F01188">
              <w:rPr>
                <w:rFonts w:ascii="Arial" w:hAnsi="Arial" w:cs="Arial"/>
                <w:sz w:val="18"/>
                <w:szCs w:val="18"/>
              </w:rPr>
              <w:t>(Matthews et al., 2012; Lunetta et al., 2015)</w:t>
            </w:r>
            <w:r w:rsidRPr="00F01188">
              <w:rPr>
                <w:rFonts w:ascii="Arial" w:hAnsi="Arial" w:cs="Arial"/>
                <w:sz w:val="18"/>
                <w:szCs w:val="18"/>
              </w:rPr>
              <w:fldChar w:fldCharType="end"/>
            </w:r>
          </w:p>
        </w:tc>
      </w:tr>
      <w:tr w:rsidR="009F3A02" w:rsidRPr="009F495F" w14:paraId="09ACE640" w14:textId="77777777" w:rsidTr="00D211B4">
        <w:trPr>
          <w:trHeight w:val="1030"/>
        </w:trPr>
        <w:tc>
          <w:tcPr>
            <w:tcW w:w="7195" w:type="dxa"/>
          </w:tcPr>
          <w:p w14:paraId="6E5D55B8" w14:textId="77777777" w:rsidR="009F3A02" w:rsidRPr="00F01188" w:rsidRDefault="009F3A02" w:rsidP="00D211B4">
            <w:pPr>
              <w:pStyle w:val="12space"/>
              <w:spacing w:before="120" w:after="120" w:line="240" w:lineRule="auto"/>
              <w:jc w:val="both"/>
              <w:rPr>
                <w:rFonts w:ascii="Arial" w:eastAsiaTheme="minorEastAsia" w:hAnsi="Arial" w:cs="Arial"/>
                <w:b/>
                <w:bCs/>
                <w:sz w:val="18"/>
                <w:szCs w:val="18"/>
              </w:rPr>
            </w:pPr>
            <w:r w:rsidRPr="00F01188">
              <w:rPr>
                <w:rFonts w:ascii="Arial" w:eastAsiaTheme="minorEastAsia" w:hAnsi="Arial" w:cs="Arial"/>
                <w:b/>
                <w:bCs/>
                <w:sz w:val="18"/>
                <w:szCs w:val="18"/>
              </w:rPr>
              <w:t>CI</w:t>
            </w:r>
            <w:r w:rsidRPr="00F01188">
              <w:rPr>
                <w:rFonts w:ascii="Arial" w:eastAsiaTheme="minorEastAsia" w:hAnsi="Arial" w:cs="Arial"/>
                <w:b/>
                <w:bCs/>
                <w:sz w:val="18"/>
                <w:szCs w:val="18"/>
                <w:vertAlign w:val="subscript"/>
              </w:rPr>
              <w:t>cyano</w:t>
            </w:r>
            <w:r w:rsidRPr="00F01188">
              <w:rPr>
                <w:rFonts w:ascii="Arial" w:eastAsiaTheme="minorEastAsia" w:hAnsi="Arial" w:cs="Arial"/>
                <w:b/>
                <w:bCs/>
                <w:sz w:val="18"/>
                <w:szCs w:val="18"/>
              </w:rPr>
              <w:t xml:space="preserve"> </w:t>
            </w:r>
          </w:p>
          <w:p w14:paraId="0DAE5B53" w14:textId="77777777" w:rsidR="009F3A02" w:rsidRPr="006C7773" w:rsidRDefault="00000000" w:rsidP="00D211B4">
            <w:pPr>
              <w:pStyle w:val="12space"/>
              <w:spacing w:before="120" w:after="120" w:line="240" w:lineRule="auto"/>
              <w:jc w:val="both"/>
              <w:rPr>
                <w:rFonts w:ascii="Arial" w:eastAsiaTheme="minorEastAsia" w:hAnsi="Arial"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CI</m:t>
                    </m:r>
                  </m:e>
                  <m:sub>
                    <m:r>
                      <w:rPr>
                        <w:rFonts w:ascii="Cambria Math" w:hAnsi="Cambria Math" w:cs="Arial"/>
                        <w:sz w:val="18"/>
                        <w:szCs w:val="18"/>
                      </w:rPr>
                      <m:t>cyano</m:t>
                    </m:r>
                  </m:sub>
                </m:sSub>
                <m:r>
                  <w:rPr>
                    <w:rFonts w:ascii="Cambria Math" w:hAnsi="Cambria Math" w:cs="Arial"/>
                    <w:sz w:val="18"/>
                    <w:szCs w:val="18"/>
                  </w:rPr>
                  <m:t xml:space="preserve">= </m:t>
                </m:r>
                <m:d>
                  <m:dPr>
                    <m:begChr m:val="{"/>
                    <m:endChr m:val=""/>
                    <m:ctrlPr>
                      <w:rPr>
                        <w:rFonts w:ascii="Cambria Math" w:hAnsi="Cambria Math" w:cs="Arial"/>
                        <w:i/>
                        <w:sz w:val="18"/>
                        <w:szCs w:val="18"/>
                      </w:rPr>
                    </m:ctrlPr>
                  </m:dPr>
                  <m:e>
                    <m:eqArr>
                      <m:eqArrPr>
                        <m:ctrlPr>
                          <w:rPr>
                            <w:rFonts w:ascii="Cambria Math" w:hAnsi="Cambria Math" w:cs="Arial"/>
                            <w:i/>
                            <w:sz w:val="18"/>
                            <w:szCs w:val="18"/>
                          </w:rPr>
                        </m:ctrlPr>
                      </m:eqArrPr>
                      <m:e>
                        <m:r>
                          <w:rPr>
                            <w:rFonts w:ascii="Cambria Math" w:hAnsi="Cambria Math" w:cs="Arial"/>
                            <w:sz w:val="18"/>
                            <w:szCs w:val="18"/>
                          </w:rPr>
                          <m:t>CI,  SS</m:t>
                        </m:r>
                        <m:d>
                          <m:dPr>
                            <m:ctrlPr>
                              <w:rPr>
                                <w:rFonts w:ascii="Cambria Math" w:hAnsi="Cambria Math" w:cs="Arial"/>
                                <w:i/>
                                <w:sz w:val="18"/>
                                <w:szCs w:val="18"/>
                              </w:rPr>
                            </m:ctrlPr>
                          </m:dPr>
                          <m:e>
                            <m:r>
                              <w:rPr>
                                <w:rFonts w:ascii="Cambria Math" w:hAnsi="Cambria Math" w:cs="Arial"/>
                                <w:sz w:val="18"/>
                                <w:szCs w:val="18"/>
                              </w:rPr>
                              <m:t>665</m:t>
                            </m:r>
                          </m:e>
                        </m:d>
                        <m:r>
                          <w:rPr>
                            <w:rFonts w:ascii="Cambria Math" w:hAnsi="Cambria Math" w:cs="Arial"/>
                            <w:sz w:val="18"/>
                            <w:szCs w:val="18"/>
                          </w:rPr>
                          <m:t>&gt;0</m:t>
                        </m:r>
                      </m:e>
                      <m:e>
                        <m:r>
                          <w:rPr>
                            <w:rFonts w:ascii="Cambria Math" w:hAnsi="Cambria Math" w:cs="Arial"/>
                            <w:sz w:val="18"/>
                            <w:szCs w:val="18"/>
                          </w:rPr>
                          <m:t>0,  &amp;otherwise</m:t>
                        </m:r>
                      </m:e>
                    </m:eqArr>
                  </m:e>
                </m:d>
              </m:oMath>
            </m:oMathPara>
          </w:p>
        </w:tc>
        <w:tc>
          <w:tcPr>
            <w:tcW w:w="2250" w:type="dxa"/>
          </w:tcPr>
          <w:p w14:paraId="74F22CC8" w14:textId="77777777" w:rsidR="009F3A02" w:rsidRPr="00F01188" w:rsidRDefault="009F3A02" w:rsidP="00D211B4">
            <w:pPr>
              <w:pStyle w:val="12space"/>
              <w:spacing w:before="120" w:after="120" w:line="240" w:lineRule="auto"/>
              <w:jc w:val="both"/>
              <w:rPr>
                <w:rFonts w:ascii="Arial" w:hAnsi="Arial" w:cs="Arial"/>
                <w:sz w:val="18"/>
                <w:szCs w:val="18"/>
              </w:rPr>
            </w:pPr>
            <w:r w:rsidRPr="00F01188">
              <w:rPr>
                <w:rFonts w:ascii="Arial" w:hAnsi="Arial" w:cs="Arial"/>
                <w:sz w:val="18"/>
                <w:szCs w:val="18"/>
              </w:rPr>
              <w:fldChar w:fldCharType="begin"/>
            </w:r>
            <w:r w:rsidRPr="00F01188">
              <w:rPr>
                <w:rFonts w:ascii="Arial" w:hAnsi="Arial" w:cs="Arial"/>
                <w:sz w:val="18"/>
                <w:szCs w:val="18"/>
              </w:rPr>
              <w:instrText xml:space="preserve"> ADDIN ZOTERO_ITEM CSL_CITATION {"citationID":"yGWA4M2v","properties":{"formattedCitation":"(Lunetta et al., 2015)","plainCitation":"(Lunetta et al., 2015)","noteIndex":0},"citationItems":[{"id":344,"uris":["http://zotero.org/users/6561400/items/LF7SM5RZ"],"itemData":{"id":344,"type":"article-journal","abstract":"Inland waters across the United States (US) are at potential risk for increased outbreaks of toxic cyanobacteria blooms events resulting from elevated water temperatures and extreme hydrologic events attributable to climate change and increased nutrient loadings associated with intensive agricultural practices. Current monitoring efforts are limited in scope due to resource limitations, analytical complexity, and data integration efforts. The goals of this study were to validate an algorithm for satellite imagery that could potentially be used to monitor surface cyanobacteria events in near real-time to provide a compressive monitoring capability for freshwater lakes (N 100 ha). The algorithm incorporated narrow spectral bands speciﬁc to the European Space Agency's (ESA's) MEdium Resolution Imaging Spectrometer (MERIS) instrument that were optimally oriented at phytoplankton pigment absorption features including phycocyanin at 620 nm. A validation of derived cyanobacteria cell counts was performed using available in situ data assembled from existing monitoring programs across eight states in the eastern US over a 39-month period (2009–2012). Results indicated that MERIS provided robust estimates for low (10,000–109,000 cells/mL) and very high (N 1,000,000 cells/mL) cell enumeration ranges (approximately 90% and 83%, respectively). However, the results for two intermediate ranges (110,000–299,000 and 300,000–1,000,000 cells/mL) were substandard, at approximately 28% and 40%, respectively. The confusion associated with intermediate cyanobacteria cell count ranges was largely attributed to the lack of available taxonomic data and distinction of natural counting units for the in situ measurements that would have facilitated conversions between cell counts and cell volumes. The results of this study document the potential for using MERISderived cyanobacteria cell count estimates to monitor freshwater lakes (N100 ha) across the eastern US.","container-title":"Remote Sensing of Environment","DOI":"10.1016/j.rse.2014.06.008","ISSN":"00344257","journalAbbreviation":"Remote Sensing of Environment","language":"en","page":"24-34","source":"DOI.org (Crossref)","title":"Evaluation of cyanobacteria cell count detection derived from MERIS imagery across the eastern USA","volume":"157","author":[{"family":"Lunetta","given":"Ross S."},{"family":"Schaeffer","given":"Blake A."},{"family":"Stumpf","given":"Richard P."},{"family":"Keith","given":"Darryl"},{"family":"Jacobs","given":"Scott A."},{"family":"Murphy","given":"Mark S."}],"issued":{"date-parts":[["2015",2]]}}}],"schema":"https://github.com/citation-style-language/schema/raw/master/csl-citation.json"} </w:instrText>
            </w:r>
            <w:r w:rsidRPr="00F01188">
              <w:rPr>
                <w:rFonts w:ascii="Arial" w:hAnsi="Arial" w:cs="Arial"/>
                <w:sz w:val="18"/>
                <w:szCs w:val="18"/>
              </w:rPr>
              <w:fldChar w:fldCharType="separate"/>
            </w:r>
            <w:r w:rsidRPr="00F01188">
              <w:rPr>
                <w:rFonts w:ascii="Arial" w:hAnsi="Arial" w:cs="Arial"/>
                <w:sz w:val="18"/>
                <w:szCs w:val="18"/>
              </w:rPr>
              <w:t>(Lunetta et al., 2015)</w:t>
            </w:r>
            <w:r w:rsidRPr="00F01188">
              <w:rPr>
                <w:rFonts w:ascii="Arial" w:hAnsi="Arial" w:cs="Arial"/>
                <w:sz w:val="18"/>
                <w:szCs w:val="18"/>
              </w:rPr>
              <w:fldChar w:fldCharType="end"/>
            </w:r>
          </w:p>
        </w:tc>
      </w:tr>
    </w:tbl>
    <w:p w14:paraId="4909E6D0" w14:textId="77777777" w:rsidR="009F3A02" w:rsidRDefault="009F3A02" w:rsidP="009F3A02">
      <w:pPr>
        <w:pStyle w:val="12space"/>
      </w:pPr>
    </w:p>
    <w:p w14:paraId="1BE890EE" w14:textId="4766D131" w:rsidR="009F3A02" w:rsidRDefault="009F3A02" w:rsidP="009F3A02">
      <w:pPr>
        <w:pStyle w:val="12space"/>
      </w:pPr>
      <w:r>
        <w:t xml:space="preserve">OLCI pixels are approximately 300 x 300 m in size and are in approximately the same location for every image. To account for spatial heterogeneity of water conditions within a pixel, field data were collected from 2–3 sites within most pixels. Prior to field-sampling, the centroids of an OLCI pixel were obtained and loaded into the boat’s navigation computer. The boat then traveled near the centroid of a pixel and dropped an anchor to prevent drifting from wind or waves. After data were collected from the site, the boat motored to 1-2 additional sites within the pixel, dropped anchor again, and collected data. A total of 16 sites within 7 pixels (P1–P7) were sampled </w:t>
      </w:r>
      <w:r>
        <w:lastRenderedPageBreak/>
        <w:t>across the three days, with 3 sites within P1 and P2 on July 14; 3 sites in P3, 2 sites in P4, and 1 site P5 on August 3; and 3 sites in P6 and 2 sites in P7 on November 3 (</w:t>
      </w:r>
      <w:r w:rsidR="64EE7769">
        <w:t>Table 2).</w:t>
      </w:r>
    </w:p>
    <w:p w14:paraId="440CCC5C" w14:textId="77777777" w:rsidR="009F3A02" w:rsidRDefault="009F3A02" w:rsidP="009F3A02">
      <w:pPr>
        <w:pStyle w:val="Heading7"/>
      </w:pPr>
      <w:r>
        <w:t>Remotely sensed data</w:t>
      </w:r>
    </w:p>
    <w:p w14:paraId="3A08AD5B" w14:textId="77777777" w:rsidR="009F3A02" w:rsidRDefault="009F3A02" w:rsidP="009F3A02">
      <w:pPr>
        <w:pStyle w:val="12space"/>
      </w:pPr>
      <w:r>
        <w:t>Field-based hyperspectral data were collected with a Spectra Vista Corporation (SVC) 512i spectroradiometer (</w:t>
      </w:r>
      <w:r w:rsidRPr="00FE6A4A">
        <w:t>Poughkeepsie, N</w:t>
      </w:r>
      <w:r>
        <w:t xml:space="preserve">ew </w:t>
      </w:r>
      <w:r w:rsidRPr="00FE6A4A">
        <w:t>Y</w:t>
      </w:r>
      <w:r>
        <w:t>ork,</w:t>
      </w:r>
      <w:r w:rsidRPr="00FE6A4A">
        <w:t xml:space="preserve"> USA</w:t>
      </w:r>
      <w:r>
        <w:t>). The instrument collects radiance (W m</w:t>
      </w:r>
      <w:r w:rsidRPr="007200BE">
        <w:rPr>
          <w:vertAlign w:val="superscript"/>
        </w:rPr>
        <w:t>-2</w:t>
      </w:r>
      <w:r>
        <w:t xml:space="preserve"> nm</w:t>
      </w:r>
      <w:r w:rsidRPr="007200BE">
        <w:rPr>
          <w:vertAlign w:val="superscript"/>
        </w:rPr>
        <w:t>-1</w:t>
      </w:r>
      <w:r>
        <w:t xml:space="preserve"> sr</w:t>
      </w:r>
      <w:r w:rsidRPr="007200BE">
        <w:rPr>
          <w:vertAlign w:val="superscript"/>
        </w:rPr>
        <w:t>-1</w:t>
      </w:r>
      <w:r>
        <w:t>) approximately every 3 nm from 350–1050 nm. Radiance data were aggregated into 5 nm bins by averaging the values in each bin. First, remote sensing reflectance (</w:t>
      </w:r>
      <w:r w:rsidRPr="00D02CD7">
        <w:t>R</w:t>
      </w:r>
      <w:r w:rsidRPr="00D02CD7">
        <w:rPr>
          <w:vertAlign w:val="subscript"/>
        </w:rPr>
        <w:t>rs</w:t>
      </w:r>
      <w:r>
        <w:t>) was calculated, then non-dimensional surface reflectance (</w:t>
      </w:r>
      <w:r w:rsidRPr="00163F4B">
        <w:rPr>
          <w:i/>
          <w:iCs/>
        </w:rPr>
        <w:t>ρ</w:t>
      </w:r>
      <w:r>
        <w:rPr>
          <w:i/>
          <w:iCs/>
          <w:vertAlign w:val="subscript"/>
        </w:rPr>
        <w:t>s</w:t>
      </w:r>
      <w:r>
        <w:t xml:space="preserve">) was calculated from the </w:t>
      </w:r>
      <w:r w:rsidRPr="00D02CD7">
        <w:t>R</w:t>
      </w:r>
      <w:r w:rsidRPr="00D02CD7">
        <w:rPr>
          <w:vertAlign w:val="subscript"/>
        </w:rPr>
        <w:t>rs</w:t>
      </w:r>
      <w:r>
        <w:t xml:space="preserve"> value. </w:t>
      </w:r>
      <w:r w:rsidRPr="00D02CD7">
        <w:t>R</w:t>
      </w:r>
      <w:r w:rsidRPr="00D02CD7">
        <w:rPr>
          <w:vertAlign w:val="subscript"/>
        </w:rPr>
        <w:t>rs</w:t>
      </w:r>
      <w:r>
        <w:t xml:space="preserve"> was calculated using an above-water measurement approach </w:t>
      </w:r>
      <w:r>
        <w:fldChar w:fldCharType="begin"/>
      </w:r>
      <w:r>
        <w:instrText xml:space="preserve"> ADDIN ZOTERO_ITEM CSL_CITATION {"citationID":"NZqkV1nP","properties":{"formattedCitation":"(Mobley, 1999; Ruddick et al., 2019b)","plainCitation":"(Mobley, 1999; Ruddick et al., 2019b)","noteIndex":0},"citationItems":[{"id":341,"uris":["http://zotero.org/users/6561400/items/82C44UHW"],"itemData":{"id":341,"type":"article-journal","container-title":"Applied Optics","DOI":"10.1364/AO.38.007442","ISSN":"0003-6935, 1539-4522","issue":"36","journalAbbreviation":"Appl. Opt.","language":"en","page":"7442","source":"DOI.org (Crossref)","title":"Estimation of the remote-sensing reflectance from above-surface measurements","volume":"38","author":[{"family":"Mobley","given":"Curtis D."}],"issued":{"date-parts":[["1999",12,20]]}},"label":"page"},{"id":2207,"uris":["http://zotero.org/users/6561400/items/S2PGLZPE"],"itemData":{"id":2207,"type":"article-journal","abstract":"This paper reviews the state of the art of protocols for measurement of water-leaving radiance in the context of fiducial reference measurements (FRM) of water reflectance for satellite validation. Measurement of water reflectance requires the measurement of water-leaving radiance and downwelling irradiance just above water. For the former there are four generic families of method, based on: (1) underwater radiometry at fixed depths; or (2) underwater radiometry with vertical profiling; or (3) above-water radiometry with skyglint correction; or (4) on-water radiometry with skylight blocked. Each method is described generically in the FRM context with reference to the measurement equation, documented implementations and the intra-method diversity of deployment platform and practice. Ideal measurement conditions are stated, practical recommendations are provided on best practice and guidelines for estimating the measurement uncertainty are provided for each protocol-related component of the measurement uncertainty budget. The state of the art for measurement of water-leaving radiance is summarized, future perspectives are outlined, and the question of which method is best adapted to various circumstances (water type, wavelength) is discussed. This review is based on practice and papers of the aquatic optics community for the validation of water reflectance estimated from satellite data but can be relevant also for other applications such as the development or validation of algorithms for remote-sensing estimation of water constituents including chlorophyll a concentration, inherent optical properties and related products.","container-title":"Remote Sensing","DOI":"10.3390/rs11192198","issue":"19","language":"en","license":"http://creativecommons.org/licenses/by/3.0/","note":"number: 19\npublisher: Multidisciplinary Digital Publishing Institute","page":"2198","source":"www.mdpi.com","title":"A Review of Protocols for Fiducial Reference Measurements of Water-Leaving Radiance for Validation of Satellite Remote-Sensing Data over Water","volume":"11","author":[{"family":"Ruddick","given":"Kevin G."},{"family":"Voss","given":"Kenneth"},{"family":"Boss","given":"Emmanuel"},{"family":"Castagna","given":"Alexandre"},{"family":"Frouin","given":"Robert"},{"family":"Gilerson","given":"Alex"},{"family":"Hieronymi","given":"Martin"},{"family":"Johnson","given":"B. Carol"},{"family":"Kuusk","given":"Joel"},{"family":"Lee","given":"Zhongping"},{"family":"Ondrusek","given":"Michael"},{"family":"Vabson","given":"Viktor"},{"family":"Vendt","given":"Riho"}],"issued":{"date-parts":[["2019",1]]}}}],"schema":"https://github.com/citation-style-language/schema/raw/master/csl-citation.json"} </w:instrText>
      </w:r>
      <w:r>
        <w:fldChar w:fldCharType="separate"/>
      </w:r>
      <w:r w:rsidRPr="00A645BD">
        <w:t>(Mobley, 1999; Ruddick et al., 2019b)</w:t>
      </w:r>
      <w:r>
        <w:fldChar w:fldCharType="end"/>
      </w:r>
      <w:r>
        <w:t xml:space="preserve"> with a 10% calibrated Spectralon reflectance plate (Labsphere, North Sutton, New Hampshire, USA). Radiance data were collected from the water, sky, and reflectance plate at an angle of approximately 40° from nadir and an azimuth of 135° from the sun. </w:t>
      </w:r>
      <w:r w:rsidRPr="00D02CD7">
        <w:t>R</w:t>
      </w:r>
      <w:r w:rsidRPr="00D02CD7">
        <w:rPr>
          <w:vertAlign w:val="subscript"/>
        </w:rPr>
        <w:t>rs</w:t>
      </w:r>
      <w:r>
        <w:t xml:space="preserve"> was calculated from calibration plate, water, and sky radiance values following equation 6 from Mobley </w:t>
      </w:r>
      <w:r>
        <w:fldChar w:fldCharType="begin"/>
      </w:r>
      <w:r>
        <w:instrText xml:space="preserve"> ADDIN ZOTERO_ITEM CSL_CITATION {"citationID":"CWqF1zEp","properties":{"formattedCitation":"(1999)","plainCitation":"(1999)","noteIndex":0},"citationItems":[{"id":341,"uris":["http://zotero.org/users/6561400/items/82C44UHW"],"itemData":{"id":341,"type":"article-journal","container-title":"Applied Optics","DOI":"10.1364/AO.38.007442","ISSN":"0003-6935, 1539-4522","issue":"36","journalAbbreviation":"Appl. Opt.","language":"en","page":"7442","source":"DOI.org (Crossref)","title":"Estimation of the remote-sensing reflectance from above-surface measurements","volume":"38","author":[{"family":"Mobley","given":"Curtis D."}],"issued":{"date-parts":[["1999",12,20]]}},"label":"page","suppress-author":true}],"schema":"https://github.com/citation-style-language/schema/raw/master/csl-citation.json"} </w:instrText>
      </w:r>
      <w:r>
        <w:fldChar w:fldCharType="separate"/>
      </w:r>
      <w:r w:rsidRPr="00117BD7">
        <w:t>(1999)</w:t>
      </w:r>
      <w:r>
        <w:fldChar w:fldCharType="end"/>
      </w:r>
      <w:r>
        <w:t>:</w:t>
      </w:r>
    </w:p>
    <w:p w14:paraId="79EF3DEB" w14:textId="77777777" w:rsidR="009F3A02" w:rsidRDefault="009F3A02" w:rsidP="009F3A02">
      <w:pPr>
        <w:pStyle w:val="12space"/>
      </w:pPr>
      <w:r w:rsidRPr="00D02CD7">
        <w:t>R</w:t>
      </w:r>
      <w:r w:rsidRPr="00D02CD7">
        <w:rPr>
          <w:vertAlign w:val="subscript"/>
        </w:rPr>
        <w:t>rs</w:t>
      </w:r>
      <w:r>
        <w:t xml:space="preserve"> = (water – </w:t>
      </w:r>
      <w:r w:rsidRPr="00163F4B">
        <w:rPr>
          <w:i/>
          <w:iCs/>
        </w:rPr>
        <w:t>ρ</w:t>
      </w:r>
      <w:r>
        <w:t xml:space="preserve"> × sky) / (ϖ × plate ÷</w:t>
      </w:r>
      <w:r w:rsidRPr="00D615E3">
        <w:rPr>
          <w:i/>
          <w:iCs/>
        </w:rPr>
        <w:t xml:space="preserve"> </w:t>
      </w:r>
      <w:r w:rsidRPr="00163F4B">
        <w:rPr>
          <w:i/>
          <w:iCs/>
        </w:rPr>
        <w:t>ρ</w:t>
      </w:r>
      <w:r>
        <w:rPr>
          <w:i/>
          <w:iCs/>
          <w:vertAlign w:val="subscript"/>
        </w:rPr>
        <w:t>p</w:t>
      </w:r>
      <w:r>
        <w:t>) (sr</w:t>
      </w:r>
      <w:r w:rsidRPr="00767A21">
        <w:rPr>
          <w:vertAlign w:val="superscript"/>
        </w:rPr>
        <w:t>-1</w:t>
      </w:r>
      <w:r>
        <w:t>).</w:t>
      </w:r>
    </w:p>
    <w:p w14:paraId="6A27539C" w14:textId="77777777" w:rsidR="009F3A02" w:rsidRDefault="009F3A02" w:rsidP="009F3A02">
      <w:pPr>
        <w:pStyle w:val="12space"/>
      </w:pPr>
      <w:r>
        <w:t xml:space="preserve">Where </w:t>
      </w:r>
      <w:r w:rsidRPr="00163F4B">
        <w:rPr>
          <w:i/>
          <w:iCs/>
        </w:rPr>
        <w:t>ρ</w:t>
      </w:r>
      <w:r>
        <w:t xml:space="preserve"> is 0.028 and represents the fraction of light that light that is reflected off the water’s surface </w:t>
      </w:r>
      <w:r>
        <w:fldChar w:fldCharType="begin"/>
      </w:r>
      <w:r>
        <w:instrText xml:space="preserve"> ADDIN ZOTERO_ITEM CSL_CITATION {"citationID":"ay8OTeyn","properties":{"formattedCitation":"(Mobley, 1999; Ruddick et al., 2019b)","plainCitation":"(Mobley, 1999; Ruddick et al., 2019b)","noteIndex":0},"citationItems":[{"id":341,"uris":["http://zotero.org/users/6561400/items/82C44UHW"],"itemData":{"id":341,"type":"article-journal","container-title":"Applied Optics","DOI":"10.1364/AO.38.007442","ISSN":"0003-6935, 1539-4522","issue":"36","journalAbbreviation":"Appl. Opt.","language":"en","page":"7442","source":"DOI.org (Crossref)","title":"Estimation of the remote-sensing reflectance from above-surface measurements","volume":"38","author":[{"family":"Mobley","given":"Curtis D."}],"issued":{"date-parts":[["1999",12,20]]}}},{"id":2207,"uris":["http://zotero.org/users/6561400/items/S2PGLZPE"],"itemData":{"id":2207,"type":"article-journal","abstract":"This paper reviews the state of the art of protocols for measurement of water-leaving radiance in the context of fiducial reference measurements (FRM) of water reflectance for satellite validation. Measurement of water reflectance requires the measurement of water-leaving radiance and downwelling irradiance just above water. For the former there are four generic families of method, based on: (1) underwater radiometry at fixed depths; or (2) underwater radiometry with vertical profiling; or (3) above-water radiometry with skyglint correction; or (4) on-water radiometry with skylight blocked. Each method is described generically in the FRM context with reference to the measurement equation, documented implementations and the intra-method diversity of deployment platform and practice. Ideal measurement conditions are stated, practical recommendations are provided on best practice and guidelines for estimating the measurement uncertainty are provided for each protocol-related component of the measurement uncertainty budget. The state of the art for measurement of water-leaving radiance is summarized, future perspectives are outlined, and the question of which method is best adapted to various circumstances (water type, wavelength) is discussed. This review is based on practice and papers of the aquatic optics community for the validation of water reflectance estimated from satellite data but can be relevant also for other applications such as the development or validation of algorithms for remote-sensing estimation of water constituents including chlorophyll a concentration, inherent optical properties and related products.","container-title":"Remote Sensing","DOI":"10.3390/rs11192198","issue":"19","language":"en","license":"http://creativecommons.org/licenses/by/3.0/","note":"number: 19\npublisher: Multidisciplinary Digital Publishing Institute","page":"2198","source":"www.mdpi.com","title":"A Review of Protocols for Fiducial Reference Measurements of Water-Leaving Radiance for Validation of Satellite Remote-Sensing Data over Water","volume":"11","author":[{"family":"Ruddick","given":"Kevin G."},{"family":"Voss","given":"Kenneth"},{"family":"Boss","given":"Emmanuel"},{"family":"Castagna","given":"Alexandre"},{"family":"Frouin","given":"Robert"},{"family":"Gilerson","given":"Alex"},{"family":"Hieronymi","given":"Martin"},{"family":"Johnson","given":"B. Carol"},{"family":"Kuusk","given":"Joel"},{"family":"Lee","given":"Zhongping"},{"family":"Ondrusek","given":"Michael"},{"family":"Vabson","given":"Viktor"},{"family":"Vendt","given":"Riho"}],"issued":{"date-parts":[["2019",1]]}}}],"schema":"https://github.com/citation-style-language/schema/raw/master/csl-citation.json"} </w:instrText>
      </w:r>
      <w:r>
        <w:fldChar w:fldCharType="separate"/>
      </w:r>
      <w:r w:rsidRPr="00A645BD">
        <w:t>(Mobley, 1999; Ruddick et al., 2019b)</w:t>
      </w:r>
      <w:r>
        <w:fldChar w:fldCharType="end"/>
      </w:r>
      <w:r>
        <w:t xml:space="preserve">. The product of </w:t>
      </w:r>
      <w:r w:rsidRPr="00163F4B">
        <w:rPr>
          <w:i/>
          <w:iCs/>
        </w:rPr>
        <w:t>ρ</w:t>
      </w:r>
      <w:r>
        <w:rPr>
          <w:i/>
          <w:iCs/>
        </w:rPr>
        <w:t xml:space="preserve"> </w:t>
      </w:r>
      <w:r>
        <w:t xml:space="preserve">and the sky radiance is subtracted from the water radiance to calculate the water leaving radiance, which is a measure of the light that entered the water and then was scattered back out of the water, rather than light reflected off the surface. The denominator estimates total downward irradiance </w:t>
      </w:r>
      <w:r>
        <w:fldChar w:fldCharType="begin"/>
      </w:r>
      <w:r>
        <w:instrText xml:space="preserve"> ADDIN ZOTERO_ITEM CSL_CITATION {"citationID":"EfecMgx5","properties":{"formattedCitation":"(Ruddick et al., 2019a)","plainCitation":"(Ruddick et al., 2019a)","noteIndex":0},"citationItems":[{"id":2205,"uris":["http://zotero.org/users/6561400/items/YZEL74JN"],"itemData":{"id":2205,"type":"article-journal","abstract":"This paper reviews the state of the art of protocols for the measurement of downwelling irradiance in the context of Fiducial Reference Measurements (FRM) of water reflectance for satellite validation. The measurement of water reflectance requires the measurement of water-leaving radiance and downwelling irradiance just above water. For the latter, there are four generic families of method, using: (1) an above-water upward-pointing irradiance sensor; (2) an above-water downward-pointing radiance sensor and a reflective plaque; (3) a Sun-pointing radiance sensor (sunphotometer); or (4) an underwater upward-pointing irradiance sensor deployed at different depths. Each method&amp;mdash;except for the fourth, which is considered obsolete for the measurement of above-water downwelling irradiance&amp;mdash;is described generically in the FRM context with reference to the measurement equation, documented implementations, and the intra-method diversity of deployment platform and practice. Ideal measurement conditions are stated, practical recommendations are provided on best practice, and guidelines for estimating the measurement uncertainty are provided for each protocol-related component of the measurement uncertainty budget. The state of the art for the measurement of downwelling irradiance is summarized, future perspectives are outlined, and key debates such as the use of reflectance plaques with calibrated or uncalibrated radiometers are presented. This review is based on the practice and studies of the aquatic optics community and the validation of water reflectance, but is also relevant to land radiation monitoring and the validation of satellite-derived land surface reflectance.","container-title":"Remote Sensing","DOI":"10.3390/rs11151742","issue":"15","language":"en","license":"http://creativecommons.org/licenses/by/3.0/","note":"number: 15\npublisher: Multidisciplinary Digital Publishing Institute","page":"1742","source":"www.mdpi.com","title":"A Review of Protocols for Fiducial Reference Measurements of Downwelling Irradiance for the Validation of Satellite Remote Sensing Data over Water","volume":"11","author":[{"family":"Ruddick","given":"Kevin G."},{"family":"Voss","given":"Kenneth"},{"family":"Banks","given":"Andrew C."},{"family":"Boss","given":"Emmanuel"},{"family":"Castagna","given":"Alexandre"},{"family":"Frouin","given":"Robert"},{"family":"Hieronymi","given":"Martin"},{"family":"Jamet","given":"Cedric"},{"family":"Johnson","given":"B. Carol"},{"family":"Kuusk","given":"Joel"},{"family":"Lee","given":"Zhongping"},{"family":"Ondrusek","given":"Michael"},{"family":"Vabson","given":"Viktor"},{"family":"Vendt","given":"Riho"}],"issued":{"date-parts":[["2019",1]]}}}],"schema":"https://github.com/citation-style-language/schema/raw/master/csl-citation.json"} </w:instrText>
      </w:r>
      <w:r>
        <w:fldChar w:fldCharType="separate"/>
      </w:r>
      <w:r w:rsidRPr="00A645BD">
        <w:t>(Ruddick et al., 2019a)</w:t>
      </w:r>
      <w:r>
        <w:fldChar w:fldCharType="end"/>
      </w:r>
      <w:r>
        <w:t>, and the plate reflectance (</w:t>
      </w:r>
      <w:r w:rsidRPr="00163F4B">
        <w:rPr>
          <w:i/>
          <w:iCs/>
        </w:rPr>
        <w:t>ρ</w:t>
      </w:r>
      <w:r>
        <w:rPr>
          <w:i/>
          <w:iCs/>
          <w:vertAlign w:val="subscript"/>
        </w:rPr>
        <w:t>p</w:t>
      </w:r>
      <w:r>
        <w:t xml:space="preserve">) per nm is calibrated by the manufacturer. </w:t>
      </w:r>
      <w:r w:rsidRPr="00D02CD7">
        <w:t>R</w:t>
      </w:r>
      <w:r w:rsidRPr="00D02CD7">
        <w:rPr>
          <w:vertAlign w:val="subscript"/>
        </w:rPr>
        <w:t>rs</w:t>
      </w:r>
      <w:r>
        <w:t xml:space="preserve"> was multiplied by ϖ to calculate the non-dimensional surface reflectance (</w:t>
      </w:r>
      <w:r w:rsidRPr="00163F4B">
        <w:rPr>
          <w:i/>
          <w:iCs/>
        </w:rPr>
        <w:t>ρ</w:t>
      </w:r>
      <w:r>
        <w:rPr>
          <w:i/>
          <w:iCs/>
          <w:vertAlign w:val="subscript"/>
        </w:rPr>
        <w:t>s</w:t>
      </w:r>
      <w:r>
        <w:rPr>
          <w:i/>
          <w:iCs/>
        </w:rPr>
        <w:t xml:space="preserve">, </w:t>
      </w:r>
      <w:r w:rsidRPr="00842A63">
        <w:t>unitless</w:t>
      </w:r>
      <w:r>
        <w:t xml:space="preserve">) </w:t>
      </w:r>
      <w:r>
        <w:fldChar w:fldCharType="begin"/>
      </w:r>
      <w:r>
        <w:instrText xml:space="preserve"> ADDIN ZOTERO_ITEM CSL_CITATION {"citationID":"ApCKVHvh","properties":{"formattedCitation":"(Mobley et al., 2016)","plainCitation":"(Mobley et al., 2016)","noteIndex":0},"citationItems":[{"id":9480,"uris":["http://zotero.org/users/6561400/items/QLMTTVCZ"],"itemData":{"id":9480,"type":"report","abstract":"This tutorial is an introduction to atmospheric correction in general and also documentation of the atmospheric correction algorithms currently implemented by the NASA Ocean Biology Processing Group (OBPG) for processing ocean color data from satellite-borne sensors such as MODIS and VIIRS. The intended audience is graduate students or others who are encountering this topic for the first time. The tutorial is in two parts. Part I discusses the generic atmospheric correction problem. The magnitude and nature of the problem are first illustrated with numerical results generated by a coupled ocean-atmosphere radiative transfer model. That code allow the various contributions (Rayleigh and aerosol path radiance, surface reflectance, water-leaving radiance, etc.) to the topof- the-atmosphere (TOA) radiance to be separated out. Particular attention is then paid to the definition, calculation, and interpretation of the so-called \"exact normalized water-leaving radiance\" and its equivalent reflectance. Part I ends with chapters on the calculation of direct and diffuse atmospheric transmittances, and on how vicarious calibration is performed. Part II then describes one by one the particular algorithms currently used by the OBPG to effect the various steps of the atmospheric correction process, viz. the corrections for absorption and scattering by gases and aerosols, Sun and sky reflectance by the sea surface and whitecaps, and finally corrections for sensor out-of-band response and polarization effects. One goal of the tutorial-guided by teaching needs- is to distill the results of dozens of papers published over several decades of research in atmospheric correction for ocean color remote sensing.","note":"NTRS Author Affiliations: Sequoia Scientific, Inc., NASA Goddard Space Flight Center, JHT, Inc.\nNTRS Document ID: 20160011399\nNTRS Research Center: Goddard Space Flight Center (GSFC)","number":"GSFC-E-DAA-TN35509","source":"NASA NTRS","title":"Atmospheric Correction for Satellite Ocean Color Radiometry","URL":"https://ntrs.nasa.gov/citations/20160011399","author":[{"family":"Mobley","given":"Curtis D."},{"family":"Werdell","given":"Jeremy"},{"family":"Franz","given":"Bryan"},{"family":"Ahmad","given":"Ziauddin"},{"family":"Bailey","given":"Sean"}],"accessed":{"date-parts":[["2023",7,12]]},"issued":{"date-parts":[["2016",6,1]]}}}],"schema":"https://github.com/citation-style-language/schema/raw/master/csl-citation.json"} </w:instrText>
      </w:r>
      <w:r>
        <w:fldChar w:fldCharType="separate"/>
      </w:r>
      <w:r w:rsidRPr="00D44940">
        <w:t>(Mobley et al., 2016)</w:t>
      </w:r>
      <w:r>
        <w:fldChar w:fldCharType="end"/>
      </w:r>
      <w:r>
        <w:t>.</w:t>
      </w:r>
    </w:p>
    <w:p w14:paraId="01BF6F9A" w14:textId="77777777" w:rsidR="009F3A02" w:rsidRDefault="009F3A02" w:rsidP="009F3A02">
      <w:pPr>
        <w:pStyle w:val="12space"/>
      </w:pPr>
      <w:r>
        <w:t>Triplicate sets of water, sky, and plate measurements were made at each site. During each set ten measurements of each water, sky, and plate target were collected, which were then averaged together into a single value for each replicate. The SVC instrument was set to average ten readings per saved measurement value, auto-calibrate the integration time, and recalibrate to a dark spectrum measurement for every reading.</w:t>
      </w:r>
    </w:p>
    <w:p w14:paraId="282917F3" w14:textId="77777777" w:rsidR="009F3A02" w:rsidRPr="00F55A97" w:rsidRDefault="009F3A02" w:rsidP="009F3A02">
      <w:pPr>
        <w:pStyle w:val="12space"/>
      </w:pPr>
      <w:r>
        <w:t>Multi-spectral satellite data from the OLCI sensor on Sentinel-3 A and B was provided by NOAA National Center for Coastal Observing Science (NCCOS) and the NCCOS level 4 product, Rayleigh-corrected top-of-the-atmosphere non-dimensional surface reflectance (Rho</w:t>
      </w:r>
      <w:r w:rsidRPr="00215A8A">
        <w:rPr>
          <w:vertAlign w:val="subscript"/>
        </w:rPr>
        <w:t>s</w:t>
      </w:r>
      <w:r>
        <w:t xml:space="preserve">, </w:t>
      </w:r>
      <w:r w:rsidRPr="00163F4B">
        <w:rPr>
          <w:i/>
          <w:iCs/>
        </w:rPr>
        <w:t>ρ</w:t>
      </w:r>
      <w:r w:rsidRPr="00E82733">
        <w:rPr>
          <w:i/>
          <w:iCs/>
          <w:vertAlign w:val="subscript"/>
        </w:rPr>
        <w:t>s</w:t>
      </w:r>
      <w:r w:rsidRPr="00E82733">
        <w:t>)</w:t>
      </w:r>
      <w:r>
        <w:t xml:space="preserve"> used for algorithm calculations </w:t>
      </w:r>
      <w:r>
        <w:fldChar w:fldCharType="begin"/>
      </w:r>
      <w:r>
        <w:instrText xml:space="preserve"> ADDIN ZOTERO_ITEM CSL_CITATION {"citationID":"DT4B4PzP","properties":{"formattedCitation":"(Wynne et al., 2020)","plainCitation":"(Wynne et al., 2020)","noteIndex":0},"citationItems":[{"id":9463,"uris":["http://zotero.org/users/6561400/items/ZMQ9ZL7F"],"itemData":{"id":9463,"type":"article-journal","abstract":"This technical memo describes (1) the most used level 3 products produced by the HAB-FB group, (2) the algorithms employed, and (3) the various setting, parameters, flags, etc. used by SAPS to generate each product. This suite of products is used for a variety of applications. These include assessing cyanobacterial blooms in Lake Erie and other water bodies in collaboration with the U.S. EPA and production of NOAA’s Lake Erie HAB Operational Forecast System. Other products support interests by numerous states, including Maryland, Virginia, North Carolina, Florida, Ohio, and California in detecting blooms, and products as well as supporting NOAA’s Office of Protected Species, and some of NOAA’s National Marine Fisheries Science Centers.","archive_location":"noaa:30906","collection-title":"NOAA technical memorandum NOS NCCOS ; 296","DOI":"10.25923/606t-m243","title":"Harmful Algal Bloom Forecasting Branch Ocean Color Satellite Imagery Processing Guidelines, 2020 Update","URL":"https://repository.library.noaa.gov/view/noaa/30906","editor":[{"literal":"United States. National Ocean Service"},{"literal":"National Centers for Coastal Ocean Science (U.S.)"}],"author":[{"family":"Wynne","given":"Timothy"},{"family":"Meredith","given":"Andrew"},{"family":"Stumpf","given":"Richard"},{"family":"Briggs","given":"Travis"},{"family":"Litaker","given":"Wayne"}],"issued":{"date-parts":[["2020"]]}}}],"schema":"https://github.com/citation-style-language/schema/raw/master/csl-citation.json"} </w:instrText>
      </w:r>
      <w:r>
        <w:fldChar w:fldCharType="separate"/>
      </w:r>
      <w:r w:rsidRPr="00117211">
        <w:t>(Wynne et al., 2020)</w:t>
      </w:r>
      <w:r>
        <w:fldChar w:fldCharType="end"/>
      </w:r>
      <w:r>
        <w:t>. The OLCI bands used for the algorithms are 7.5–10 nm wide and centered on 620, 665, 681, 709, 754 nm (</w:t>
      </w:r>
      <w:hyperlink r:id="rId8">
        <w:r w:rsidRPr="07A0AC57">
          <w:rPr>
            <w:rStyle w:val="Hyperlink"/>
          </w:rPr>
          <w:t>https://sentinels.copernicus.eu/web/sentinel/user-guides/sentinel-3-</w:t>
        </w:r>
        <w:r w:rsidRPr="07A0AC57">
          <w:rPr>
            <w:rStyle w:val="Hyperlink"/>
          </w:rPr>
          <w:lastRenderedPageBreak/>
          <w:t>olci/resolutions/radiometric</w:t>
        </w:r>
      </w:hyperlink>
      <w:r>
        <w:t xml:space="preserve">). Additionally, the level 4 pixel masks for land, clouds, mixed pixels, and adjacency pixels </w:t>
      </w:r>
      <w:r>
        <w:fldChar w:fldCharType="begin"/>
      </w:r>
      <w:r>
        <w:instrText xml:space="preserve"> ADDIN ZOTERO_ITEM CSL_CITATION {"citationID":"aJXBSetD","properties":{"formattedCitation":"(Wynne et al., 2020)","plainCitation":"(Wynne et al., 2020)","noteIndex":0},"citationItems":[{"id":9463,"uris":["http://zotero.org/users/6561400/items/ZMQ9ZL7F"],"itemData":{"id":9463,"type":"article-journal","abstract":"This technical memo describes (1) the most used level 3 products produced by the HAB-FB group, (2) the algorithms employed, and (3) the various setting, parameters, flags, etc. used by SAPS to generate each product. This suite of products is used for a variety of applications. These include assessing cyanobacterial blooms in Lake Erie and other water bodies in collaboration with the U.S. EPA and production of NOAA’s Lake Erie HAB Operational Forecast System. Other products support interests by numerous states, including Maryland, Virginia, North Carolina, Florida, Ohio, and California in detecting blooms, and products as well as supporting NOAA’s Office of Protected Species, and some of NOAA’s National Marine Fisheries Science Centers.","archive_location":"noaa:30906","collection-title":"NOAA technical memorandum NOS NCCOS ; 296","DOI":"10.25923/606t-m243","title":"Harmful Algal Bloom Forecasting Branch Ocean Color Satellite Imagery Processing Guidelines, 2020 Update","URL":"https://repository.library.noaa.gov/view/noaa/30906","editor":[{"literal":"United States. National Ocean Service"},{"literal":"National Centers for Coastal Ocean Science (U.S.)"}],"author":[{"family":"Wynne","given":"Timothy"},{"family":"Meredith","given":"Andrew"},{"family":"Stumpf","given":"Richard"},{"family":"Briggs","given":"Travis"},{"family":"Litaker","given":"Wayne"}],"issued":{"date-parts":[["2020"]]}}}],"schema":"https://github.com/citation-style-language/schema/raw/master/csl-citation.json"} </w:instrText>
      </w:r>
      <w:r>
        <w:fldChar w:fldCharType="separate"/>
      </w:r>
      <w:r w:rsidRPr="008F02BA">
        <w:t>(Wynne et al., 2020)</w:t>
      </w:r>
      <w:r>
        <w:fldChar w:fldCharType="end"/>
      </w:r>
      <w:r>
        <w:t xml:space="preserve"> were also provided by NCCOS. Mixed pixels are at the edge of land and include both land and water are within the pixel. Adjacency pixels are full-water pixels that are close to land, therefore stray light from the adjacent land may enter the pixel and contaminate the water spectra for that pixel.</w:t>
      </w:r>
    </w:p>
    <w:p w14:paraId="4B88972D" w14:textId="77777777" w:rsidR="009F3A02" w:rsidRDefault="009F3A02" w:rsidP="009F3A02">
      <w:pPr>
        <w:pStyle w:val="Heading7"/>
      </w:pPr>
      <w:r>
        <w:t>Water quality data</w:t>
      </w:r>
    </w:p>
    <w:p w14:paraId="3A7DFDEE" w14:textId="282BF08B" w:rsidR="009F3A02" w:rsidRDefault="009F3A02" w:rsidP="4729CE61">
      <w:pPr>
        <w:pStyle w:val="12space"/>
      </w:pPr>
      <w:r>
        <w:t>At each sampling site a suite of water quality measurements w</w:t>
      </w:r>
      <w:r w:rsidR="00D20C28">
        <w:t xml:space="preserve">as </w:t>
      </w:r>
      <w:r>
        <w:t>collected to study how different parameters influenc</w:t>
      </w:r>
      <w:r w:rsidR="00C753C8">
        <w:t>e</w:t>
      </w:r>
      <w:r>
        <w:t xml:space="preserve"> the optical properties of surface reflectance spectra. Discrete samples were collected for chl-</w:t>
      </w:r>
      <w:r w:rsidRPr="39E2C39E">
        <w:rPr>
          <w:i/>
          <w:iCs/>
        </w:rPr>
        <w:t>a</w:t>
      </w:r>
      <w:r>
        <w:t xml:space="preserve"> and dissolved organic carbon (DOC)</w:t>
      </w:r>
      <w:r w:rsidR="00622CB3">
        <w:t xml:space="preserve"> while stopped at each site</w:t>
      </w:r>
      <w:r>
        <w:t xml:space="preserve">. </w:t>
      </w:r>
      <w:r w:rsidR="00410C17">
        <w:t>D</w:t>
      </w:r>
      <w:r w:rsidR="00622CB3">
        <w:t xml:space="preserve">OC </w:t>
      </w:r>
      <w:r w:rsidR="00C3785D">
        <w:t>samples</w:t>
      </w:r>
      <w:r w:rsidR="00410C17">
        <w:t xml:space="preserve"> were collected by passing water from the pickup tube through a 0.2-micron filter into a sample bottle</w:t>
      </w:r>
      <w:r w:rsidR="00C3785D">
        <w:t>, stored chilled, and analyzed at the USGS Organic Matter Research Laboratory</w:t>
      </w:r>
      <w:r w:rsidR="001D638E">
        <w:t>.</w:t>
      </w:r>
      <w:r w:rsidR="009F4C25">
        <w:t xml:space="preserve"> </w:t>
      </w:r>
      <w:r w:rsidR="00F33EC5">
        <w:t>In preparation for analysis, d</w:t>
      </w:r>
      <w:r w:rsidR="009F4C25">
        <w:t>issolved organic carbon samples were preserved to &lt;2 pH with high-purity sulfuric acid the day following collection and stored at 2°C.</w:t>
      </w:r>
      <w:r w:rsidR="00C3785D">
        <w:t xml:space="preserve"> </w:t>
      </w:r>
    </w:p>
    <w:p w14:paraId="5D1B783B" w14:textId="082C9D70" w:rsidR="5D5F60CA" w:rsidRDefault="5D5F60CA" w:rsidP="4729CE61">
      <w:pPr>
        <w:pStyle w:val="12space"/>
      </w:pPr>
      <w:r>
        <w:t>Unfiltered chl-</w:t>
      </w:r>
      <w:r w:rsidRPr="6E7DF611">
        <w:rPr>
          <w:i/>
          <w:iCs/>
        </w:rPr>
        <w:t>a</w:t>
      </w:r>
      <w:r>
        <w:t xml:space="preserve"> samples were collected approximately at 0.5-1 m depth using a submersible pump, then stored chilled. Total Chl-</w:t>
      </w:r>
      <w:r w:rsidRPr="6E7DF611">
        <w:rPr>
          <w:i/>
          <w:iCs/>
        </w:rPr>
        <w:t>a</w:t>
      </w:r>
      <w:r>
        <w:t xml:space="preserve"> samples were filtered through a 0.7 um nominal pore size glass fiber filter (Advantec MFS, Inc, Dublin, California) and analyzed at the USGS National Water Quality Laboratory (NWQL) in Denver, Colorado. Chl-</w:t>
      </w:r>
      <w:r w:rsidRPr="6E7DF611">
        <w:rPr>
          <w:i/>
          <w:iCs/>
        </w:rPr>
        <w:t>a</w:t>
      </w:r>
      <w:r>
        <w:t xml:space="preserve"> concentrations were determined fluorometrically according to EPA Method 445.0 (Arar and Collins, 1997). The 0.7 um filtered samples were extracted using sonication.</w:t>
      </w:r>
    </w:p>
    <w:p w14:paraId="6F9EC9E3" w14:textId="124A0787" w:rsidR="785578C4" w:rsidRDefault="785578C4" w:rsidP="6E7DF611">
      <w:pPr>
        <w:pStyle w:val="12space"/>
      </w:pPr>
      <w:r>
        <w:t>Dissolved organic carbon concentrations were measured using a total organic carbon analyzer (TOC-VCSH, Shimadzu Scientific Instruments, Columbia, Maryland) using high-temperature catalytic combustion according to a modified version of USEPA method 415.3 (Potter and Wimsatt, 2012). Absorbance spectra and fluorescence EEMs were simultaneously measured using an Aqualog® equipped with a photodiode and charge-coupled device (CCD) (Horiba Instruments, NJ, USA) according to the method described by Hansen and others (2018). Briefly, excitation and absorbance spectra were measured using a 150 W xenon lamp, a 5 nm bandpass, and a 1 s integration time at wavelengths of 240–600 nm. Emission spectra were collected with a CCD at approximately 1.64 nm (4 pixel) intervals at wavelengths of 250–600 nm. To reduce ultraviolet light exposure of the sample and limit the effects of photobleaching, excitation and absorbance wavelengths were scanned from low to high energy (i.e., visible to ultraviolet range) during analysis. Peaks, ratios, and slopes reported in the data were calculated as described by Hansen and others (2016).</w:t>
      </w:r>
    </w:p>
    <w:p w14:paraId="521C7848" w14:textId="6A685598" w:rsidR="009F3A02" w:rsidRDefault="009F3A02" w:rsidP="009F3A02">
      <w:pPr>
        <w:pStyle w:val="12space"/>
      </w:pPr>
      <w:r>
        <w:t xml:space="preserve">Additionally, in situ water quality data, were collected at 0.5 and 1 m depths using a YSI </w:t>
      </w:r>
      <w:r w:rsidR="00504066">
        <w:t>sonde (YSI EXO2; Xylem Inc. (EXO), Rye Brook, New York)</w:t>
      </w:r>
      <w:r>
        <w:t xml:space="preserve">. The </w:t>
      </w:r>
      <w:r>
        <w:lastRenderedPageBreak/>
        <w:t xml:space="preserve">sonde was lowered by hand to the approximate depth and data were collected for approximately 4 minutes at each depth. </w:t>
      </w:r>
      <w:r w:rsidR="00DD45BC">
        <w:t xml:space="preserve">Parameters measured are </w:t>
      </w:r>
      <w:r w:rsidR="00EF4F8B">
        <w:t xml:space="preserve">water </w:t>
      </w:r>
      <w:r w:rsidR="00DD45BC">
        <w:t>temperature</w:t>
      </w:r>
      <w:r w:rsidR="00823CD8">
        <w:t xml:space="preserve"> (Celsius)</w:t>
      </w:r>
      <w:r w:rsidR="00DD45BC">
        <w:t xml:space="preserve">, </w:t>
      </w:r>
      <w:r w:rsidR="005212E9">
        <w:t>conductivity (uS/cm</w:t>
      </w:r>
      <w:r w:rsidR="00BA4255">
        <w:t xml:space="preserve">), specific conductivity (uS/cm), </w:t>
      </w:r>
      <w:r w:rsidR="000B38C9">
        <w:t xml:space="preserve">salinity (psu), </w:t>
      </w:r>
      <w:r w:rsidR="00F62021">
        <w:t xml:space="preserve">pH (standard units), </w:t>
      </w:r>
      <w:r w:rsidR="00BD3421">
        <w:t>fluorescent chlorophyll (fCHL</w:t>
      </w:r>
      <w:r w:rsidR="3778F481">
        <w:t>;</w:t>
      </w:r>
      <w:r w:rsidR="00BD3421">
        <w:t xml:space="preserve"> </w:t>
      </w:r>
      <w:r w:rsidR="00690427">
        <w:t xml:space="preserve">ug/L), </w:t>
      </w:r>
      <w:r w:rsidR="0FFE0F9F">
        <w:t>blue</w:t>
      </w:r>
      <w:r w:rsidR="00520547">
        <w:t>-</w:t>
      </w:r>
      <w:r w:rsidR="0FFE0F9F">
        <w:t>green algae</w:t>
      </w:r>
      <w:r w:rsidR="00520547">
        <w:t xml:space="preserve"> fluorescence</w:t>
      </w:r>
      <w:r w:rsidR="0059691B">
        <w:t xml:space="preserve"> (</w:t>
      </w:r>
      <w:r w:rsidR="1A25529A">
        <w:t>BGA</w:t>
      </w:r>
      <w:r w:rsidR="30D9C40B">
        <w:t>;</w:t>
      </w:r>
      <w:r w:rsidR="0059691B">
        <w:t xml:space="preserve"> </w:t>
      </w:r>
      <w:r w:rsidR="6D6325C7">
        <w:t>RFU</w:t>
      </w:r>
      <w:r w:rsidR="0059691B">
        <w:t xml:space="preserve">), </w:t>
      </w:r>
      <w:r w:rsidR="00BB028F">
        <w:t>fluorescence of dissolved organic matter (fDOM,</w:t>
      </w:r>
      <w:r w:rsidR="24295226">
        <w:t>;</w:t>
      </w:r>
      <w:r w:rsidR="145553FA">
        <w:t xml:space="preserve"> QSU</w:t>
      </w:r>
      <w:r w:rsidR="00C25FCC">
        <w:t xml:space="preserve">), pressure (psi), </w:t>
      </w:r>
      <w:r w:rsidR="009A41DF">
        <w:t>dissolved oxygen (DO</w:t>
      </w:r>
      <w:r w:rsidR="727E9B28">
        <w:t>;</w:t>
      </w:r>
      <w:r w:rsidR="009A41DF">
        <w:t xml:space="preserve"> mg/L),</w:t>
      </w:r>
      <w:r w:rsidR="00E1647F">
        <w:t xml:space="preserve"> and</w:t>
      </w:r>
      <w:r w:rsidR="009A41DF">
        <w:t xml:space="preserve"> </w:t>
      </w:r>
      <w:r w:rsidR="00E1647F">
        <w:t>turbidity (</w:t>
      </w:r>
      <w:r w:rsidR="2B30A299">
        <w:t>FNU</w:t>
      </w:r>
      <w:r w:rsidR="00E1647F">
        <w:t>).</w:t>
      </w:r>
    </w:p>
    <w:p w14:paraId="293F4151" w14:textId="77777777" w:rsidR="009F3A02" w:rsidRDefault="009F3A02" w:rsidP="009F3A02">
      <w:pPr>
        <w:pStyle w:val="Heading7"/>
      </w:pPr>
      <w:r>
        <w:t>Remote sensing cyanobacterial abundance indices</w:t>
      </w:r>
    </w:p>
    <w:p w14:paraId="3B8E4954" w14:textId="21DF11DF" w:rsidR="009F3A02" w:rsidRDefault="009F3A02" w:rsidP="009F3A02">
      <w:pPr>
        <w:pStyle w:val="12space"/>
      </w:pPr>
      <w:r>
        <w:t xml:space="preserve">Field and satellite </w:t>
      </w:r>
      <w:r w:rsidRPr="00D02CD7">
        <w:t>R</w:t>
      </w:r>
      <w:r w:rsidRPr="00D02CD7">
        <w:rPr>
          <w:vertAlign w:val="subscript"/>
        </w:rPr>
        <w:t>rs</w:t>
      </w:r>
      <w:r>
        <w:t xml:space="preserve"> data were used in three algorithms to estimate cyanobacterial biomass. The CI, </w:t>
      </w:r>
      <w:r w:rsidRPr="00C66BD9">
        <w:t>CI</w:t>
      </w:r>
      <w:r w:rsidRPr="00C66BD9">
        <w:rPr>
          <w:vertAlign w:val="subscript"/>
        </w:rPr>
        <w:t>cyano</w:t>
      </w:r>
      <w:r>
        <w:t xml:space="preserve">, and SS(665) algorithms were calculated from SVC or OLCI </w:t>
      </w:r>
      <w:r w:rsidRPr="00163F4B">
        <w:rPr>
          <w:i/>
          <w:iCs/>
        </w:rPr>
        <w:t>ρ</w:t>
      </w:r>
      <w:r w:rsidRPr="00E82733">
        <w:rPr>
          <w:i/>
          <w:iCs/>
          <w:vertAlign w:val="subscript"/>
        </w:rPr>
        <w:t>s</w:t>
      </w:r>
      <w:r>
        <w:rPr>
          <w:i/>
          <w:iCs/>
          <w:vertAlign w:val="subscript"/>
        </w:rPr>
        <w:t xml:space="preserve"> </w:t>
      </w:r>
      <w:r>
        <w:t xml:space="preserve">data according to equations in </w:t>
      </w:r>
      <w:r>
        <w:fldChar w:fldCharType="begin"/>
      </w:r>
      <w:r>
        <w:instrText xml:space="preserve"> REF _Ref139888517 \h </w:instrText>
      </w:r>
      <w:r>
        <w:fldChar w:fldCharType="separate"/>
      </w:r>
      <w:r>
        <w:t>Tabl</w:t>
      </w:r>
      <w:r w:rsidR="006F67D4">
        <w:t xml:space="preserve">e </w:t>
      </w:r>
      <w:r>
        <w:rPr>
          <w:noProof/>
        </w:rPr>
        <w:t>1</w:t>
      </w:r>
      <w:r>
        <w:fldChar w:fldCharType="end"/>
      </w:r>
      <w:r>
        <w:t xml:space="preserve">. Because OLCI bandwidths are wider than the SVC bands, three SVC 5 nm bins were averaged together to match the widths of the OLCI wavelengths included in each OLCI band. </w:t>
      </w:r>
      <w:bookmarkStart w:id="1" w:name="_Hlk139950868"/>
      <w:r>
        <w:t>Pearson correlations between remote sensing and water sample parameters were calculated by averaging all replicate measurements within a site and then comparing site averaged values among parameters.</w:t>
      </w:r>
      <w:bookmarkEnd w:id="1"/>
    </w:p>
    <w:p w14:paraId="5C9FDDFA" w14:textId="246AF36E" w:rsidR="009F3A02" w:rsidRDefault="009F3A02" w:rsidP="009F3A02">
      <w:pPr>
        <w:pStyle w:val="TableNoTitle"/>
      </w:pPr>
      <w:r>
        <w:t xml:space="preserve">Table </w:t>
      </w:r>
      <w:r>
        <w:fldChar w:fldCharType="begin"/>
      </w:r>
      <w:r>
        <w:instrText>SEQ Table_2.3.2.14- \* ARABIC</w:instrText>
      </w:r>
      <w:r>
        <w:fldChar w:fldCharType="separate"/>
      </w:r>
      <w:r>
        <w:rPr>
          <w:noProof/>
        </w:rPr>
        <w:t>2</w:t>
      </w:r>
      <w:r>
        <w:fldChar w:fldCharType="end"/>
      </w:r>
      <w:r>
        <w:t xml:space="preserve">. </w:t>
      </w:r>
    </w:p>
    <w:p w14:paraId="7C139E14" w14:textId="77777777" w:rsidR="009F3A02" w:rsidRPr="005A0A80" w:rsidRDefault="009F3A02" w:rsidP="009F3A02">
      <w:pPr>
        <w:pStyle w:val="TableNoTitle"/>
      </w:pPr>
      <w:r w:rsidRPr="4729CE61">
        <w:rPr>
          <w:color w:val="000000" w:themeColor="text1"/>
        </w:rPr>
        <w:t>Site information. Coordinates are in NAD83 datum</w:t>
      </w:r>
    </w:p>
    <w:tbl>
      <w:tblPr>
        <w:tblStyle w:val="TableGrid"/>
        <w:tblW w:w="7300" w:type="dxa"/>
        <w:jc w:val="center"/>
        <w:tblLayout w:type="fixed"/>
        <w:tblLook w:val="04A0" w:firstRow="1" w:lastRow="0" w:firstColumn="1" w:lastColumn="0" w:noHBand="0" w:noVBand="1"/>
      </w:tblPr>
      <w:tblGrid>
        <w:gridCol w:w="805"/>
        <w:gridCol w:w="1800"/>
        <w:gridCol w:w="4695"/>
      </w:tblGrid>
      <w:tr w:rsidR="009F3A02" w:rsidRPr="001464AC" w14:paraId="1BCC7A3C" w14:textId="77777777" w:rsidTr="4729CE61">
        <w:trPr>
          <w:trHeight w:val="288"/>
          <w:jc w:val="center"/>
        </w:trPr>
        <w:tc>
          <w:tcPr>
            <w:tcW w:w="805" w:type="dxa"/>
            <w:noWrap/>
            <w:hideMark/>
          </w:tcPr>
          <w:p w14:paraId="17A45270" w14:textId="77777777" w:rsidR="009F3A02" w:rsidRPr="00090444" w:rsidRDefault="009F3A02" w:rsidP="00D211B4">
            <w:pPr>
              <w:rPr>
                <w:rFonts w:ascii="Arial" w:hAnsi="Arial" w:cs="Arial"/>
                <w:b/>
                <w:bCs/>
                <w:color w:val="000000"/>
                <w:sz w:val="18"/>
                <w:szCs w:val="18"/>
              </w:rPr>
            </w:pPr>
            <w:r w:rsidRPr="00090444">
              <w:rPr>
                <w:rFonts w:ascii="Arial" w:hAnsi="Arial" w:cs="Arial"/>
                <w:b/>
                <w:bCs/>
                <w:sz w:val="18"/>
                <w:szCs w:val="18"/>
              </w:rPr>
              <w:t>Site ID</w:t>
            </w:r>
          </w:p>
        </w:tc>
        <w:tc>
          <w:tcPr>
            <w:tcW w:w="1800" w:type="dxa"/>
            <w:noWrap/>
            <w:hideMark/>
          </w:tcPr>
          <w:p w14:paraId="15FB5F31" w14:textId="77777777" w:rsidR="009F3A02" w:rsidRPr="00090444" w:rsidRDefault="009F3A02" w:rsidP="00D211B4">
            <w:pPr>
              <w:rPr>
                <w:rFonts w:ascii="Arial" w:hAnsi="Arial" w:cs="Arial"/>
                <w:b/>
                <w:bCs/>
                <w:color w:val="000000"/>
                <w:sz w:val="18"/>
                <w:szCs w:val="18"/>
              </w:rPr>
            </w:pPr>
            <w:r w:rsidRPr="00090444">
              <w:rPr>
                <w:rFonts w:ascii="Arial" w:hAnsi="Arial" w:cs="Arial"/>
                <w:b/>
                <w:bCs/>
                <w:sz w:val="18"/>
                <w:szCs w:val="18"/>
              </w:rPr>
              <w:t>NWIS site ID</w:t>
            </w:r>
          </w:p>
        </w:tc>
        <w:tc>
          <w:tcPr>
            <w:tcW w:w="4695" w:type="dxa"/>
            <w:noWrap/>
            <w:hideMark/>
          </w:tcPr>
          <w:p w14:paraId="677F9FBC" w14:textId="77777777" w:rsidR="009F3A02" w:rsidRPr="00090444" w:rsidRDefault="009F3A02" w:rsidP="00D211B4">
            <w:pPr>
              <w:rPr>
                <w:rFonts w:ascii="Arial" w:hAnsi="Arial" w:cs="Arial"/>
                <w:b/>
                <w:bCs/>
                <w:color w:val="000000"/>
                <w:sz w:val="18"/>
                <w:szCs w:val="18"/>
              </w:rPr>
            </w:pPr>
            <w:r w:rsidRPr="00090444">
              <w:rPr>
                <w:rFonts w:ascii="Arial" w:hAnsi="Arial" w:cs="Arial"/>
                <w:b/>
                <w:bCs/>
                <w:sz w:val="18"/>
                <w:szCs w:val="18"/>
              </w:rPr>
              <w:t>NWIS site name</w:t>
            </w:r>
          </w:p>
        </w:tc>
      </w:tr>
      <w:tr w:rsidR="009F3A02" w:rsidRPr="00090444" w14:paraId="14CAC3C5" w14:textId="77777777" w:rsidTr="4729CE61">
        <w:trPr>
          <w:trHeight w:val="288"/>
          <w:jc w:val="center"/>
        </w:trPr>
        <w:tc>
          <w:tcPr>
            <w:tcW w:w="805" w:type="dxa"/>
            <w:noWrap/>
            <w:hideMark/>
          </w:tcPr>
          <w:p w14:paraId="0E7A0CA4"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P1S1</w:t>
            </w:r>
          </w:p>
        </w:tc>
        <w:tc>
          <w:tcPr>
            <w:tcW w:w="1800" w:type="dxa"/>
            <w:noWrap/>
            <w:hideMark/>
          </w:tcPr>
          <w:p w14:paraId="7B43B5EF"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380159121360601</w:t>
            </w:r>
          </w:p>
        </w:tc>
        <w:tc>
          <w:tcPr>
            <w:tcW w:w="4695" w:type="dxa"/>
            <w:noWrap/>
            <w:hideMark/>
          </w:tcPr>
          <w:p w14:paraId="6FA7812A"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P1S1 NR BETHEL ISLAND CA</w:t>
            </w:r>
          </w:p>
        </w:tc>
      </w:tr>
      <w:tr w:rsidR="009F3A02" w:rsidRPr="00090444" w14:paraId="03CC8BA6" w14:textId="77777777" w:rsidTr="4729CE61">
        <w:trPr>
          <w:trHeight w:val="288"/>
          <w:jc w:val="center"/>
        </w:trPr>
        <w:tc>
          <w:tcPr>
            <w:tcW w:w="805" w:type="dxa"/>
            <w:noWrap/>
            <w:hideMark/>
          </w:tcPr>
          <w:p w14:paraId="41C517AF"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P1S2</w:t>
            </w:r>
          </w:p>
        </w:tc>
        <w:tc>
          <w:tcPr>
            <w:tcW w:w="1800" w:type="dxa"/>
            <w:noWrap/>
            <w:hideMark/>
          </w:tcPr>
          <w:p w14:paraId="412A7A7A"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380202121360801</w:t>
            </w:r>
          </w:p>
        </w:tc>
        <w:tc>
          <w:tcPr>
            <w:tcW w:w="4695" w:type="dxa"/>
            <w:noWrap/>
            <w:hideMark/>
          </w:tcPr>
          <w:p w14:paraId="15A9755C"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P1S2 NR BETHEL ISLAND CA</w:t>
            </w:r>
          </w:p>
        </w:tc>
      </w:tr>
      <w:tr w:rsidR="009F3A02" w:rsidRPr="00090444" w14:paraId="5A142C4D" w14:textId="77777777" w:rsidTr="4729CE61">
        <w:trPr>
          <w:trHeight w:val="288"/>
          <w:jc w:val="center"/>
        </w:trPr>
        <w:tc>
          <w:tcPr>
            <w:tcW w:w="805" w:type="dxa"/>
            <w:noWrap/>
            <w:hideMark/>
          </w:tcPr>
          <w:p w14:paraId="59161913"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P1S3</w:t>
            </w:r>
          </w:p>
        </w:tc>
        <w:tc>
          <w:tcPr>
            <w:tcW w:w="1800" w:type="dxa"/>
            <w:noWrap/>
            <w:hideMark/>
          </w:tcPr>
          <w:p w14:paraId="3FCCC977"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380157121360501</w:t>
            </w:r>
          </w:p>
        </w:tc>
        <w:tc>
          <w:tcPr>
            <w:tcW w:w="4695" w:type="dxa"/>
            <w:noWrap/>
            <w:hideMark/>
          </w:tcPr>
          <w:p w14:paraId="2E59B2B9"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P1S3 NR BETHEL ISLAND CA</w:t>
            </w:r>
          </w:p>
        </w:tc>
      </w:tr>
      <w:tr w:rsidR="009F3A02" w:rsidRPr="00090444" w14:paraId="59A790FB" w14:textId="77777777" w:rsidTr="4729CE61">
        <w:trPr>
          <w:trHeight w:val="288"/>
          <w:jc w:val="center"/>
        </w:trPr>
        <w:tc>
          <w:tcPr>
            <w:tcW w:w="805" w:type="dxa"/>
            <w:noWrap/>
            <w:hideMark/>
          </w:tcPr>
          <w:p w14:paraId="52F46AC0"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P2S1</w:t>
            </w:r>
          </w:p>
        </w:tc>
        <w:tc>
          <w:tcPr>
            <w:tcW w:w="1800" w:type="dxa"/>
            <w:noWrap/>
            <w:hideMark/>
          </w:tcPr>
          <w:p w14:paraId="05B02D5B"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380247121355301</w:t>
            </w:r>
          </w:p>
        </w:tc>
        <w:tc>
          <w:tcPr>
            <w:tcW w:w="4695" w:type="dxa"/>
            <w:noWrap/>
            <w:hideMark/>
          </w:tcPr>
          <w:p w14:paraId="52C8BB39"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P2S1 NR BETHEL ISLAND CA</w:t>
            </w:r>
          </w:p>
        </w:tc>
      </w:tr>
      <w:tr w:rsidR="009F3A02" w:rsidRPr="00090444" w14:paraId="49FDBCE3" w14:textId="77777777" w:rsidTr="4729CE61">
        <w:trPr>
          <w:trHeight w:val="288"/>
          <w:jc w:val="center"/>
        </w:trPr>
        <w:tc>
          <w:tcPr>
            <w:tcW w:w="805" w:type="dxa"/>
            <w:noWrap/>
            <w:hideMark/>
          </w:tcPr>
          <w:p w14:paraId="0C71D9FC"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P2S2</w:t>
            </w:r>
          </w:p>
        </w:tc>
        <w:tc>
          <w:tcPr>
            <w:tcW w:w="1800" w:type="dxa"/>
            <w:noWrap/>
            <w:hideMark/>
          </w:tcPr>
          <w:p w14:paraId="06C44223"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380249121355701</w:t>
            </w:r>
          </w:p>
        </w:tc>
        <w:tc>
          <w:tcPr>
            <w:tcW w:w="4695" w:type="dxa"/>
            <w:noWrap/>
            <w:hideMark/>
          </w:tcPr>
          <w:p w14:paraId="3229E4EC"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P2S2 NR BETHEL ISLAND CA</w:t>
            </w:r>
          </w:p>
        </w:tc>
      </w:tr>
      <w:tr w:rsidR="009F3A02" w:rsidRPr="00090444" w14:paraId="2E66467D" w14:textId="77777777" w:rsidTr="4729CE61">
        <w:trPr>
          <w:trHeight w:val="288"/>
          <w:jc w:val="center"/>
        </w:trPr>
        <w:tc>
          <w:tcPr>
            <w:tcW w:w="805" w:type="dxa"/>
            <w:noWrap/>
            <w:hideMark/>
          </w:tcPr>
          <w:p w14:paraId="26443EE9"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P3S1</w:t>
            </w:r>
          </w:p>
        </w:tc>
        <w:tc>
          <w:tcPr>
            <w:tcW w:w="1800" w:type="dxa"/>
            <w:noWrap/>
            <w:hideMark/>
          </w:tcPr>
          <w:p w14:paraId="232E4072"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380140121361501</w:t>
            </w:r>
          </w:p>
        </w:tc>
        <w:tc>
          <w:tcPr>
            <w:tcW w:w="4695" w:type="dxa"/>
            <w:noWrap/>
            <w:hideMark/>
          </w:tcPr>
          <w:p w14:paraId="406B1A0C"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P3S1 NR BETHEL ISLAND CA</w:t>
            </w:r>
          </w:p>
        </w:tc>
      </w:tr>
      <w:tr w:rsidR="009F3A02" w:rsidRPr="00090444" w14:paraId="1412F4E0" w14:textId="77777777" w:rsidTr="4729CE61">
        <w:trPr>
          <w:trHeight w:val="288"/>
          <w:jc w:val="center"/>
        </w:trPr>
        <w:tc>
          <w:tcPr>
            <w:tcW w:w="805" w:type="dxa"/>
            <w:noWrap/>
            <w:hideMark/>
          </w:tcPr>
          <w:p w14:paraId="24AAF457"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P3S2</w:t>
            </w:r>
          </w:p>
        </w:tc>
        <w:tc>
          <w:tcPr>
            <w:tcW w:w="1800" w:type="dxa"/>
            <w:noWrap/>
            <w:hideMark/>
          </w:tcPr>
          <w:p w14:paraId="4D6C79A8"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380142121362301</w:t>
            </w:r>
          </w:p>
        </w:tc>
        <w:tc>
          <w:tcPr>
            <w:tcW w:w="4695" w:type="dxa"/>
            <w:noWrap/>
            <w:hideMark/>
          </w:tcPr>
          <w:p w14:paraId="558409E2"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P3S2 NR BETHEL ISLAND CA</w:t>
            </w:r>
          </w:p>
        </w:tc>
      </w:tr>
      <w:tr w:rsidR="009F3A02" w:rsidRPr="00090444" w14:paraId="5F801576" w14:textId="77777777" w:rsidTr="4729CE61">
        <w:trPr>
          <w:trHeight w:val="288"/>
          <w:jc w:val="center"/>
        </w:trPr>
        <w:tc>
          <w:tcPr>
            <w:tcW w:w="805" w:type="dxa"/>
            <w:noWrap/>
            <w:hideMark/>
          </w:tcPr>
          <w:p w14:paraId="3648FAC2"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P3S3</w:t>
            </w:r>
          </w:p>
        </w:tc>
        <w:tc>
          <w:tcPr>
            <w:tcW w:w="1800" w:type="dxa"/>
            <w:noWrap/>
            <w:hideMark/>
          </w:tcPr>
          <w:p w14:paraId="28C8C5F6"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380136121362001</w:t>
            </w:r>
          </w:p>
        </w:tc>
        <w:tc>
          <w:tcPr>
            <w:tcW w:w="4695" w:type="dxa"/>
            <w:noWrap/>
            <w:hideMark/>
          </w:tcPr>
          <w:p w14:paraId="395F2DE8"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P3S3 NR BETHEL ISLAND CA</w:t>
            </w:r>
          </w:p>
        </w:tc>
      </w:tr>
      <w:tr w:rsidR="009F3A02" w:rsidRPr="00090444" w14:paraId="7193F697" w14:textId="77777777" w:rsidTr="4729CE61">
        <w:trPr>
          <w:trHeight w:val="288"/>
          <w:jc w:val="center"/>
        </w:trPr>
        <w:tc>
          <w:tcPr>
            <w:tcW w:w="805" w:type="dxa"/>
            <w:noWrap/>
            <w:hideMark/>
          </w:tcPr>
          <w:p w14:paraId="4FC44A86"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P4S1</w:t>
            </w:r>
          </w:p>
        </w:tc>
        <w:tc>
          <w:tcPr>
            <w:tcW w:w="1800" w:type="dxa"/>
            <w:noWrap/>
            <w:hideMark/>
          </w:tcPr>
          <w:p w14:paraId="386BDDC8"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380319121352201</w:t>
            </w:r>
          </w:p>
        </w:tc>
        <w:tc>
          <w:tcPr>
            <w:tcW w:w="4695" w:type="dxa"/>
            <w:noWrap/>
            <w:hideMark/>
          </w:tcPr>
          <w:p w14:paraId="1D28191A"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P4S1 NR BETHEL ISLAND CA</w:t>
            </w:r>
          </w:p>
        </w:tc>
      </w:tr>
      <w:tr w:rsidR="009F3A02" w:rsidRPr="00090444" w14:paraId="5AE371D8" w14:textId="77777777" w:rsidTr="4729CE61">
        <w:trPr>
          <w:trHeight w:val="288"/>
          <w:jc w:val="center"/>
        </w:trPr>
        <w:tc>
          <w:tcPr>
            <w:tcW w:w="805" w:type="dxa"/>
            <w:noWrap/>
            <w:hideMark/>
          </w:tcPr>
          <w:p w14:paraId="5467EE93"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P4S2</w:t>
            </w:r>
          </w:p>
        </w:tc>
        <w:tc>
          <w:tcPr>
            <w:tcW w:w="1800" w:type="dxa"/>
            <w:noWrap/>
            <w:hideMark/>
          </w:tcPr>
          <w:p w14:paraId="323850A6"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380322121352101</w:t>
            </w:r>
          </w:p>
        </w:tc>
        <w:tc>
          <w:tcPr>
            <w:tcW w:w="4695" w:type="dxa"/>
            <w:noWrap/>
            <w:hideMark/>
          </w:tcPr>
          <w:p w14:paraId="357AC294"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P4S2 NR BETHEL ISLAND CA</w:t>
            </w:r>
          </w:p>
        </w:tc>
      </w:tr>
      <w:tr w:rsidR="009F3A02" w:rsidRPr="00090444" w14:paraId="089A9B03" w14:textId="77777777" w:rsidTr="4729CE61">
        <w:trPr>
          <w:trHeight w:val="288"/>
          <w:jc w:val="center"/>
        </w:trPr>
        <w:tc>
          <w:tcPr>
            <w:tcW w:w="805" w:type="dxa"/>
            <w:noWrap/>
            <w:hideMark/>
          </w:tcPr>
          <w:p w14:paraId="629341A3"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P5S1</w:t>
            </w:r>
          </w:p>
        </w:tc>
        <w:tc>
          <w:tcPr>
            <w:tcW w:w="1800" w:type="dxa"/>
            <w:noWrap/>
            <w:hideMark/>
          </w:tcPr>
          <w:p w14:paraId="4649F6B6"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380317121355801</w:t>
            </w:r>
          </w:p>
        </w:tc>
        <w:tc>
          <w:tcPr>
            <w:tcW w:w="4695" w:type="dxa"/>
            <w:noWrap/>
            <w:hideMark/>
          </w:tcPr>
          <w:p w14:paraId="1E8A7E8F"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P5S1 NR BETHEL ISLAND CA</w:t>
            </w:r>
          </w:p>
        </w:tc>
      </w:tr>
      <w:tr w:rsidR="009F3A02" w:rsidRPr="00090444" w14:paraId="4DF31B00" w14:textId="77777777" w:rsidTr="4729CE61">
        <w:trPr>
          <w:trHeight w:val="288"/>
          <w:jc w:val="center"/>
        </w:trPr>
        <w:tc>
          <w:tcPr>
            <w:tcW w:w="805" w:type="dxa"/>
            <w:noWrap/>
            <w:hideMark/>
          </w:tcPr>
          <w:p w14:paraId="2E3971AC"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P6S1</w:t>
            </w:r>
          </w:p>
        </w:tc>
        <w:tc>
          <w:tcPr>
            <w:tcW w:w="1800" w:type="dxa"/>
            <w:noWrap/>
            <w:hideMark/>
          </w:tcPr>
          <w:p w14:paraId="6CCA9412"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380245121371201</w:t>
            </w:r>
          </w:p>
        </w:tc>
        <w:tc>
          <w:tcPr>
            <w:tcW w:w="4695" w:type="dxa"/>
            <w:noWrap/>
            <w:hideMark/>
          </w:tcPr>
          <w:p w14:paraId="329F6668"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P6S1 NR BETHEL ISLAND CA</w:t>
            </w:r>
          </w:p>
        </w:tc>
      </w:tr>
      <w:tr w:rsidR="009F3A02" w:rsidRPr="00090444" w14:paraId="58C7E20A" w14:textId="77777777" w:rsidTr="4729CE61">
        <w:trPr>
          <w:trHeight w:val="288"/>
          <w:jc w:val="center"/>
        </w:trPr>
        <w:tc>
          <w:tcPr>
            <w:tcW w:w="805" w:type="dxa"/>
            <w:noWrap/>
            <w:hideMark/>
          </w:tcPr>
          <w:p w14:paraId="025F9B95"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P6S2</w:t>
            </w:r>
          </w:p>
        </w:tc>
        <w:tc>
          <w:tcPr>
            <w:tcW w:w="1800" w:type="dxa"/>
            <w:noWrap/>
            <w:hideMark/>
          </w:tcPr>
          <w:p w14:paraId="28E048AB"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380244121370701</w:t>
            </w:r>
          </w:p>
        </w:tc>
        <w:tc>
          <w:tcPr>
            <w:tcW w:w="4695" w:type="dxa"/>
            <w:noWrap/>
            <w:hideMark/>
          </w:tcPr>
          <w:p w14:paraId="3F50A20A"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P6S2 NR BETHEL ISLAND CA</w:t>
            </w:r>
          </w:p>
        </w:tc>
      </w:tr>
      <w:tr w:rsidR="009F3A02" w:rsidRPr="00090444" w14:paraId="76434417" w14:textId="77777777" w:rsidTr="4729CE61">
        <w:trPr>
          <w:trHeight w:val="288"/>
          <w:jc w:val="center"/>
        </w:trPr>
        <w:tc>
          <w:tcPr>
            <w:tcW w:w="805" w:type="dxa"/>
            <w:noWrap/>
            <w:hideMark/>
          </w:tcPr>
          <w:p w14:paraId="07378828"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P6S3</w:t>
            </w:r>
          </w:p>
        </w:tc>
        <w:tc>
          <w:tcPr>
            <w:tcW w:w="1800" w:type="dxa"/>
            <w:noWrap/>
            <w:hideMark/>
          </w:tcPr>
          <w:p w14:paraId="786F16EF"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380244121370702</w:t>
            </w:r>
          </w:p>
        </w:tc>
        <w:tc>
          <w:tcPr>
            <w:tcW w:w="4695" w:type="dxa"/>
            <w:noWrap/>
            <w:hideMark/>
          </w:tcPr>
          <w:p w14:paraId="58CFB5B3"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P6S3 NR BETHEL ISLAND CA</w:t>
            </w:r>
          </w:p>
        </w:tc>
      </w:tr>
      <w:tr w:rsidR="009F3A02" w:rsidRPr="00090444" w14:paraId="373F9A7B" w14:textId="77777777" w:rsidTr="4729CE61">
        <w:trPr>
          <w:trHeight w:val="288"/>
          <w:jc w:val="center"/>
        </w:trPr>
        <w:tc>
          <w:tcPr>
            <w:tcW w:w="805" w:type="dxa"/>
            <w:noWrap/>
            <w:hideMark/>
          </w:tcPr>
          <w:p w14:paraId="0D9819F9"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P7S1</w:t>
            </w:r>
          </w:p>
        </w:tc>
        <w:tc>
          <w:tcPr>
            <w:tcW w:w="1800" w:type="dxa"/>
            <w:noWrap/>
            <w:hideMark/>
          </w:tcPr>
          <w:p w14:paraId="1F29236D"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380244121373501</w:t>
            </w:r>
          </w:p>
        </w:tc>
        <w:tc>
          <w:tcPr>
            <w:tcW w:w="4695" w:type="dxa"/>
            <w:noWrap/>
            <w:hideMark/>
          </w:tcPr>
          <w:p w14:paraId="0840C865"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P7S1 NR BETHEL ISLAND CA</w:t>
            </w:r>
          </w:p>
        </w:tc>
      </w:tr>
      <w:tr w:rsidR="009F3A02" w:rsidRPr="00090444" w14:paraId="3E260EB9" w14:textId="77777777" w:rsidTr="4729CE61">
        <w:trPr>
          <w:trHeight w:val="288"/>
          <w:jc w:val="center"/>
        </w:trPr>
        <w:tc>
          <w:tcPr>
            <w:tcW w:w="805" w:type="dxa"/>
            <w:noWrap/>
            <w:hideMark/>
          </w:tcPr>
          <w:p w14:paraId="1E16252C"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P7S2</w:t>
            </w:r>
          </w:p>
        </w:tc>
        <w:tc>
          <w:tcPr>
            <w:tcW w:w="1800" w:type="dxa"/>
            <w:noWrap/>
            <w:hideMark/>
          </w:tcPr>
          <w:p w14:paraId="529CBD35" w14:textId="77777777" w:rsidR="009F3A02" w:rsidRPr="00090444" w:rsidRDefault="009F3A02" w:rsidP="00D211B4">
            <w:pPr>
              <w:jc w:val="right"/>
              <w:rPr>
                <w:rFonts w:ascii="Arial" w:hAnsi="Arial" w:cs="Arial"/>
                <w:color w:val="000000"/>
                <w:sz w:val="18"/>
                <w:szCs w:val="18"/>
              </w:rPr>
            </w:pPr>
            <w:r w:rsidRPr="00090444">
              <w:rPr>
                <w:rFonts w:ascii="Arial" w:hAnsi="Arial" w:cs="Arial"/>
                <w:color w:val="000000"/>
                <w:sz w:val="18"/>
                <w:szCs w:val="18"/>
              </w:rPr>
              <w:t>380245121373901</w:t>
            </w:r>
          </w:p>
        </w:tc>
        <w:tc>
          <w:tcPr>
            <w:tcW w:w="4695" w:type="dxa"/>
            <w:noWrap/>
            <w:hideMark/>
          </w:tcPr>
          <w:p w14:paraId="62138B3E" w14:textId="77777777" w:rsidR="009F3A02" w:rsidRPr="00090444" w:rsidRDefault="009F3A02" w:rsidP="00D211B4">
            <w:pPr>
              <w:rPr>
                <w:rFonts w:ascii="Arial" w:hAnsi="Arial" w:cs="Arial"/>
                <w:color w:val="000000"/>
                <w:sz w:val="18"/>
                <w:szCs w:val="18"/>
              </w:rPr>
            </w:pPr>
            <w:r w:rsidRPr="00090444">
              <w:rPr>
                <w:rFonts w:ascii="Arial" w:hAnsi="Arial" w:cs="Arial"/>
                <w:color w:val="000000"/>
                <w:sz w:val="18"/>
                <w:szCs w:val="18"/>
              </w:rPr>
              <w:t>FRANKS TRACT SITE P7S2 NR BETHEL ISLAND CA</w:t>
            </w:r>
          </w:p>
        </w:tc>
      </w:tr>
    </w:tbl>
    <w:p w14:paraId="12CD8D55" w14:textId="77777777" w:rsidR="00087306" w:rsidRDefault="00087306"/>
    <w:p w14:paraId="6669413F" w14:textId="77777777" w:rsidR="00EF38FC" w:rsidRDefault="00EF38FC"/>
    <w:p w14:paraId="60CCDA7D" w14:textId="07E14AE4" w:rsidR="00EF38FC" w:rsidRPr="00C704A7" w:rsidRDefault="00EF38FC">
      <w:pPr>
        <w:rPr>
          <w:b/>
          <w:bCs/>
          <w:i/>
          <w:iCs/>
        </w:rPr>
      </w:pPr>
      <w:r w:rsidRPr="477003EB">
        <w:rPr>
          <w:b/>
          <w:bCs/>
          <w:i/>
          <w:iCs/>
        </w:rPr>
        <w:t>References</w:t>
      </w:r>
    </w:p>
    <w:p w14:paraId="1D0A0C91" w14:textId="2E4AC716" w:rsidR="477003EB" w:rsidRDefault="477003EB" w:rsidP="477003EB">
      <w:pPr>
        <w:pStyle w:val="Bibliography"/>
      </w:pPr>
    </w:p>
    <w:p w14:paraId="7D4B7C51" w14:textId="3FC982EC" w:rsidR="08107E08" w:rsidRDefault="08107E08" w:rsidP="477003EB">
      <w:pPr>
        <w:pStyle w:val="Bibliography"/>
      </w:pPr>
      <w:r>
        <w:lastRenderedPageBreak/>
        <w:t>Arar, E.J. and Collins, G.B., 1997, Method 445.0: In vitro determination of chlorophyll a and pheophytin a in marine and freshwater algae by fluorescence: Washington, D.C., U. S. Environmental Protection Agency, Office of Research and Development, National Exposure Research Laboratory.</w:t>
      </w:r>
    </w:p>
    <w:p w14:paraId="1AFACF8F" w14:textId="4E1BC36A" w:rsidR="08107E08" w:rsidRDefault="00000000" w:rsidP="477003EB">
      <w:pPr>
        <w:pStyle w:val="Bibliography"/>
      </w:pPr>
      <w:hyperlink r:id="rId9">
        <w:r w:rsidR="08107E08" w:rsidRPr="4729CE61">
          <w:rPr>
            <w:rStyle w:val="Hyperlink"/>
          </w:rPr>
          <w:t>https://cfpub.epa.gov/si/si_public_record_report.cfm?Lab=NERL&amp;dirEntryId=309417</w:t>
        </w:r>
      </w:hyperlink>
      <w:r w:rsidR="08107E08">
        <w:t>.</w:t>
      </w:r>
    </w:p>
    <w:p w14:paraId="758380F1" w14:textId="0EBD1837" w:rsidR="4729CE61" w:rsidRDefault="4729CE61" w:rsidP="4729CE61"/>
    <w:p w14:paraId="6FC50B90" w14:textId="18FFC0A7" w:rsidR="579DEE8C" w:rsidRDefault="579DEE8C" w:rsidP="4729CE61">
      <w:r>
        <w:t>Hansen, A.M., Kraus, T.E.C., Pellerin, B. A., Fleck, J. A., Downing, B. D., Bergamaschi, B. A., 2016, Optical properties of dissolved organic Matter (DOM): effects of biological and photolytic degradation: Limnology and Oceanography, v. 61, p. 1015-1032, https://doi.org/10.1002/lno.10270.</w:t>
      </w:r>
    </w:p>
    <w:p w14:paraId="35E74C6A" w14:textId="61FD6D2B" w:rsidR="4729CE61" w:rsidRDefault="4729CE61" w:rsidP="4729CE61"/>
    <w:p w14:paraId="51407B2E" w14:textId="11C6410D" w:rsidR="579DEE8C" w:rsidRDefault="579DEE8C" w:rsidP="4729CE61">
      <w:r>
        <w:t>Hansen, A. M., Fleck, J. A., Kraus, T. E. C., Downing, B. D., Von Dessonneck, T., Bergamaschi, B. A., 2018, Procedures for using the Horiba Scientific Aqualog® fluorometer to measure absorbance and fluorescence from dissolved organic matter: U. S. Geological Survey Open-File Report 2018-1096, 31 p., https://doi.org/10.3133/ofr20181096.</w:t>
      </w:r>
    </w:p>
    <w:p w14:paraId="41F73734" w14:textId="306347EB" w:rsidR="477003EB" w:rsidRDefault="477003EB" w:rsidP="477003EB"/>
    <w:p w14:paraId="3C6F7396" w14:textId="1B2C378A" w:rsidR="00B1003C" w:rsidRDefault="00B1003C" w:rsidP="00B1003C">
      <w:pPr>
        <w:pStyle w:val="Bibliography"/>
      </w:pPr>
      <w:r>
        <w:t xml:space="preserve">Lunetta, R. S., Schaeffer, B. A., Stumpf, R. P., Keith, D., Jacobs, S. A., and Murphy, M. S. (2015). Evaluation of cyanobacteria cell count detection derived from MERIS imagery across the eastern USA. </w:t>
      </w:r>
      <w:r w:rsidRPr="477003EB">
        <w:rPr>
          <w:i/>
          <w:iCs/>
        </w:rPr>
        <w:t>Remote Sensing of Environment</w:t>
      </w:r>
      <w:r>
        <w:t xml:space="preserve"> 157, 24–34. </w:t>
      </w:r>
      <w:hyperlink r:id="rId10">
        <w:r w:rsidR="546D72A4" w:rsidRPr="477003EB">
          <w:rPr>
            <w:rStyle w:val="Hyperlink"/>
          </w:rPr>
          <w:t>https://www.sciencedirect.com/science/article/pii/S0034425714002211</w:t>
        </w:r>
      </w:hyperlink>
      <w:r>
        <w:t>.</w:t>
      </w:r>
    </w:p>
    <w:p w14:paraId="3A6B449C" w14:textId="77777777" w:rsidR="00B1003C" w:rsidRDefault="00B1003C"/>
    <w:p w14:paraId="578D9E98" w14:textId="1F558C28" w:rsidR="00D336DB" w:rsidRPr="006225CF" w:rsidRDefault="00D336DB" w:rsidP="00D336DB">
      <w:pPr>
        <w:pStyle w:val="Bibliography"/>
      </w:pPr>
      <w:r>
        <w:t xml:space="preserve">Matthews, M. W., Bernard, S., and Robertson, L. (2012). An algorithm for detecting trophic status (chlorophyll-a), cyanobacterial-dominance, surface scums and floating vegetation in inland and coastal waters. </w:t>
      </w:r>
      <w:r w:rsidRPr="477003EB">
        <w:rPr>
          <w:i/>
          <w:iCs/>
        </w:rPr>
        <w:t>Remote Sensing of Environment</w:t>
      </w:r>
      <w:r>
        <w:t xml:space="preserve"> 124, 637–652. </w:t>
      </w:r>
      <w:r w:rsidR="15C88D73">
        <w:t>https://www.sciencedirect.com/science/article/pii/S0034425712002350</w:t>
      </w:r>
      <w:r>
        <w:t>.</w:t>
      </w:r>
    </w:p>
    <w:p w14:paraId="5BE6DC96" w14:textId="77777777" w:rsidR="00D336DB" w:rsidRDefault="00D336DB"/>
    <w:p w14:paraId="18BFD5DC" w14:textId="77777777" w:rsidR="009476B1" w:rsidRPr="006225CF" w:rsidRDefault="009476B1" w:rsidP="009476B1">
      <w:pPr>
        <w:pStyle w:val="Bibliography"/>
      </w:pPr>
      <w:r w:rsidRPr="006225CF">
        <w:t>Mobley, C. D., Werdell, J., Franz, B., Ahmad, Z., and Bailey, S. (2016). Atmospheric Correction for Satellite Ocean Color Radiometry. Available at: https://ntrs.nasa.gov/citations/20160011399 [Accessed July 12, 2023].</w:t>
      </w:r>
    </w:p>
    <w:p w14:paraId="3A48DFD6" w14:textId="77777777" w:rsidR="009476B1" w:rsidRDefault="009476B1"/>
    <w:p w14:paraId="2AD91382" w14:textId="5C51026D" w:rsidR="002C5B51" w:rsidRPr="006225CF" w:rsidRDefault="002C5B51" w:rsidP="002C5B51">
      <w:pPr>
        <w:pStyle w:val="Bibliography"/>
      </w:pPr>
      <w:r>
        <w:t xml:space="preserve">Mobley, C. D. (1999). Estimation of the remote-sensing reflectance from above-surface measurements. </w:t>
      </w:r>
      <w:r w:rsidRPr="4729CE61">
        <w:rPr>
          <w:i/>
          <w:iCs/>
        </w:rPr>
        <w:t>Appl. Opt.</w:t>
      </w:r>
      <w:r>
        <w:t xml:space="preserve"> 38, 7442. </w:t>
      </w:r>
      <w:hyperlink r:id="rId11">
        <w:r w:rsidR="2D712D42" w:rsidRPr="4729CE61">
          <w:rPr>
            <w:rStyle w:val="Hyperlink"/>
          </w:rPr>
          <w:t>https://opg.optica.org/ao/viewmedia.cfm?uri=ao-38-36-7442&amp;seq=0&amp;html=true</w:t>
        </w:r>
      </w:hyperlink>
      <w:r>
        <w:t>.</w:t>
      </w:r>
    </w:p>
    <w:p w14:paraId="394E1905" w14:textId="361DF6D5" w:rsidR="4729CE61" w:rsidRDefault="4729CE61" w:rsidP="4729CE61"/>
    <w:p w14:paraId="6F3A8425" w14:textId="3F6A6539" w:rsidR="2ED4C90A" w:rsidRDefault="2ED4C90A" w:rsidP="4729CE61">
      <w:r>
        <w:t>Potter, B. and Wimsatt, J., 2012, USEPA method 415.3: quantifying TOC, DOC, and SUVA: Journal American Water Works Association, v. 104, 6, p. E358-E369, https://doi.org/10.5942/jawwa.2012.104.0086.</w:t>
      </w:r>
    </w:p>
    <w:p w14:paraId="7143F7FD" w14:textId="77777777" w:rsidR="00D336DB" w:rsidRDefault="00D336DB"/>
    <w:p w14:paraId="1FE5C2D8" w14:textId="52C44772" w:rsidR="000E7549" w:rsidRPr="006225CF" w:rsidRDefault="000E7549" w:rsidP="000E7549">
      <w:pPr>
        <w:pStyle w:val="Bibliography"/>
      </w:pPr>
      <w:r>
        <w:lastRenderedPageBreak/>
        <w:t xml:space="preserve">Ruddick, K. G., Voss, K., Banks, A. C., Boss, E., Castagna, A., Frouin, R., et al. (2019a). A Review of Protocols for Fiducial Reference Measurements of Downwelling Irradiance for the Validation of Satellite Remote Sensing Data over Water. </w:t>
      </w:r>
      <w:r w:rsidRPr="477003EB">
        <w:rPr>
          <w:i/>
          <w:iCs/>
        </w:rPr>
        <w:t>Remote Sensing</w:t>
      </w:r>
      <w:r>
        <w:t xml:space="preserve"> 11, 1742. </w:t>
      </w:r>
      <w:r w:rsidR="358CC55D">
        <w:t>https://www.mdpi.com/2072-4292/11/15/1742</w:t>
      </w:r>
      <w:r>
        <w:t>.</w:t>
      </w:r>
    </w:p>
    <w:p w14:paraId="1E00BDF9" w14:textId="77777777" w:rsidR="000E7549" w:rsidRDefault="000E7549"/>
    <w:p w14:paraId="28960695" w14:textId="145DF1D6" w:rsidR="002565F8" w:rsidRPr="006225CF" w:rsidRDefault="002565F8" w:rsidP="002565F8">
      <w:pPr>
        <w:pStyle w:val="Bibliography"/>
      </w:pPr>
      <w:r>
        <w:t xml:space="preserve">Ruddick, K. G., Voss, K., Boss, E., Castagna, A., Frouin, R., Gilerson, A., et al. (2019b). A Review of Protocols for Fiducial Reference Measurements of Water-Leaving Radiance for Validation of Satellite Remote-Sensing Data over Water. </w:t>
      </w:r>
      <w:r w:rsidRPr="477003EB">
        <w:rPr>
          <w:i/>
          <w:iCs/>
        </w:rPr>
        <w:t>Remote Sensing</w:t>
      </w:r>
      <w:r>
        <w:t xml:space="preserve"> 11, 2198. </w:t>
      </w:r>
      <w:r w:rsidR="2F262EF9">
        <w:t>https://www.mdpi.com/2072-4292/11/19/2198</w:t>
      </w:r>
      <w:r>
        <w:t>.</w:t>
      </w:r>
    </w:p>
    <w:p w14:paraId="64DA5FB1" w14:textId="77777777" w:rsidR="002565F8" w:rsidRDefault="002565F8"/>
    <w:p w14:paraId="4020B4D4" w14:textId="4609C35C" w:rsidR="009F0436" w:rsidRDefault="009F0436" w:rsidP="009F0436">
      <w:pPr>
        <w:pStyle w:val="Bibliography"/>
      </w:pPr>
      <w:r>
        <w:t xml:space="preserve">Stumpf, R. P., Davis, T. W., Wynne, T. T., Graham, J. L., Loftin, K. A., Johengen, T. H., et al. (2016). Challenges for mapping cyanotoxin patterns from remote sensing of cyanobacteria. </w:t>
      </w:r>
      <w:r w:rsidRPr="477003EB">
        <w:rPr>
          <w:i/>
          <w:iCs/>
        </w:rPr>
        <w:t>Harmful Algae</w:t>
      </w:r>
      <w:r>
        <w:t xml:space="preserve"> 54, 160–173. </w:t>
      </w:r>
      <w:r w:rsidR="1715244D">
        <w:t>https://www.sciencedirect.com/science/article/pii/S1568988315301839</w:t>
      </w:r>
      <w:r>
        <w:t>.</w:t>
      </w:r>
    </w:p>
    <w:p w14:paraId="4532E688" w14:textId="77777777" w:rsidR="00BB63CC" w:rsidRPr="00BB63CC" w:rsidRDefault="00BB63CC" w:rsidP="00BB63CC"/>
    <w:p w14:paraId="164F3FD4" w14:textId="77777777" w:rsidR="00BB63CC" w:rsidRPr="006225CF" w:rsidRDefault="00BB63CC" w:rsidP="00BB63CC">
      <w:pPr>
        <w:pStyle w:val="Bibliography"/>
      </w:pPr>
      <w:r w:rsidRPr="006225CF">
        <w:t>U.S. Geological Survey (2023). National Water Information System. doi: http://doi.org/10.5066/F7P55KJN.</w:t>
      </w:r>
    </w:p>
    <w:p w14:paraId="5638A14A" w14:textId="77777777" w:rsidR="004C6F4D" w:rsidRDefault="004C6F4D" w:rsidP="004C6F4D"/>
    <w:p w14:paraId="561AE46B" w14:textId="5294B755" w:rsidR="00B40F13" w:rsidRPr="006225CF" w:rsidRDefault="00B40F13" w:rsidP="00B40F13">
      <w:pPr>
        <w:pStyle w:val="Bibliography"/>
      </w:pPr>
      <w:r>
        <w:t xml:space="preserve">Wynne, T., Meredith, A., Stumpf, R., Briggs, T., and Litaker, W. (2020). Harmful Algal Bloom Forecasting Branch Ocean Color Satellite Imagery Processing Guidelines, 2020 Update. </w:t>
      </w:r>
      <w:r w:rsidR="0B4C72ED">
        <w:t>https://repository.library.noaa.gov/view/noaa/30906</w:t>
      </w:r>
      <w:r>
        <w:t>.</w:t>
      </w:r>
    </w:p>
    <w:p w14:paraId="5D4FB68B" w14:textId="77777777" w:rsidR="00B40F13" w:rsidRPr="004C6F4D" w:rsidRDefault="00B40F13" w:rsidP="004C6F4D"/>
    <w:p w14:paraId="2240B5EB" w14:textId="2E0211F9" w:rsidR="004C6F4D" w:rsidRPr="006225CF" w:rsidRDefault="004C6F4D" w:rsidP="004C6F4D">
      <w:pPr>
        <w:pStyle w:val="Bibliography"/>
      </w:pPr>
      <w:r>
        <w:t xml:space="preserve">Wynne, T. T., Stumpf, R. P., Tomlinson, M. C., Warner, R. A., Tester, P. A., Dyble, J., et al. (2008). Relating spectral shape to cyanobacterial blooms in the Laurentian Great Lakes. </w:t>
      </w:r>
      <w:r w:rsidRPr="477003EB">
        <w:rPr>
          <w:i/>
          <w:iCs/>
        </w:rPr>
        <w:t>International Journal of Remote Sensing</w:t>
      </w:r>
      <w:r>
        <w:t xml:space="preserve"> 29, 3665–3672. </w:t>
      </w:r>
      <w:r w:rsidR="46C52979">
        <w:t>https://www.tandfonline.com/doi/full/10.1080/01431160802007640</w:t>
      </w:r>
      <w:r>
        <w:t>.</w:t>
      </w:r>
    </w:p>
    <w:p w14:paraId="3FC693CB" w14:textId="77777777" w:rsidR="009F0436" w:rsidRDefault="009F0436"/>
    <w:sectPr w:rsidR="009F043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9FADA" w14:textId="77777777" w:rsidR="00AE102D" w:rsidRDefault="00AE102D">
      <w:r>
        <w:separator/>
      </w:r>
    </w:p>
  </w:endnote>
  <w:endnote w:type="continuationSeparator" w:id="0">
    <w:p w14:paraId="4418E729" w14:textId="77777777" w:rsidR="00AE102D" w:rsidRDefault="00AE102D">
      <w:r>
        <w:continuationSeparator/>
      </w:r>
    </w:p>
  </w:endnote>
  <w:endnote w:type="continuationNotice" w:id="1">
    <w:p w14:paraId="78488708" w14:textId="77777777" w:rsidR="00AE102D" w:rsidRDefault="00AE1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3EE1C9B" w14:paraId="0683F607" w14:textId="77777777" w:rsidTr="33EE1C9B">
      <w:trPr>
        <w:trHeight w:val="300"/>
      </w:trPr>
      <w:tc>
        <w:tcPr>
          <w:tcW w:w="3120" w:type="dxa"/>
        </w:tcPr>
        <w:p w14:paraId="622AE23B" w14:textId="0C6694D2" w:rsidR="33EE1C9B" w:rsidRDefault="33EE1C9B" w:rsidP="33EE1C9B">
          <w:pPr>
            <w:pStyle w:val="Header"/>
            <w:ind w:left="-115"/>
          </w:pPr>
        </w:p>
      </w:tc>
      <w:tc>
        <w:tcPr>
          <w:tcW w:w="3120" w:type="dxa"/>
        </w:tcPr>
        <w:p w14:paraId="502ADB3C" w14:textId="435B1EA2" w:rsidR="33EE1C9B" w:rsidRDefault="33EE1C9B" w:rsidP="33EE1C9B">
          <w:pPr>
            <w:pStyle w:val="Header"/>
            <w:jc w:val="center"/>
          </w:pPr>
        </w:p>
      </w:tc>
      <w:tc>
        <w:tcPr>
          <w:tcW w:w="3120" w:type="dxa"/>
        </w:tcPr>
        <w:p w14:paraId="312C2BE4" w14:textId="0479AB6E" w:rsidR="33EE1C9B" w:rsidRDefault="33EE1C9B" w:rsidP="33EE1C9B">
          <w:pPr>
            <w:pStyle w:val="Header"/>
            <w:ind w:right="-115"/>
            <w:jc w:val="right"/>
          </w:pPr>
        </w:p>
      </w:tc>
    </w:tr>
  </w:tbl>
  <w:p w14:paraId="2BC85CE1" w14:textId="67C98B27" w:rsidR="33EE1C9B" w:rsidRDefault="33EE1C9B" w:rsidP="33EE1C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7CD6A" w14:textId="77777777" w:rsidR="00AE102D" w:rsidRDefault="00AE102D">
      <w:r>
        <w:separator/>
      </w:r>
    </w:p>
  </w:footnote>
  <w:footnote w:type="continuationSeparator" w:id="0">
    <w:p w14:paraId="1E39880B" w14:textId="77777777" w:rsidR="00AE102D" w:rsidRDefault="00AE102D">
      <w:r>
        <w:continuationSeparator/>
      </w:r>
    </w:p>
  </w:footnote>
  <w:footnote w:type="continuationNotice" w:id="1">
    <w:p w14:paraId="418B9DAD" w14:textId="77777777" w:rsidR="00AE102D" w:rsidRDefault="00AE10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3EE1C9B" w14:paraId="10939191" w14:textId="77777777" w:rsidTr="33EE1C9B">
      <w:trPr>
        <w:trHeight w:val="300"/>
      </w:trPr>
      <w:tc>
        <w:tcPr>
          <w:tcW w:w="3120" w:type="dxa"/>
        </w:tcPr>
        <w:p w14:paraId="0874AB22" w14:textId="2DFF0B6A" w:rsidR="33EE1C9B" w:rsidRDefault="33EE1C9B" w:rsidP="33EE1C9B">
          <w:pPr>
            <w:pStyle w:val="Header"/>
            <w:ind w:left="-115"/>
          </w:pPr>
        </w:p>
      </w:tc>
      <w:tc>
        <w:tcPr>
          <w:tcW w:w="3120" w:type="dxa"/>
        </w:tcPr>
        <w:p w14:paraId="28DB12D8" w14:textId="52D09F26" w:rsidR="33EE1C9B" w:rsidRDefault="33EE1C9B" w:rsidP="33EE1C9B">
          <w:pPr>
            <w:pStyle w:val="Header"/>
            <w:jc w:val="center"/>
          </w:pPr>
        </w:p>
      </w:tc>
      <w:tc>
        <w:tcPr>
          <w:tcW w:w="3120" w:type="dxa"/>
        </w:tcPr>
        <w:p w14:paraId="5B2D32EF" w14:textId="52ACC8EE" w:rsidR="33EE1C9B" w:rsidRDefault="33EE1C9B" w:rsidP="33EE1C9B">
          <w:pPr>
            <w:pStyle w:val="Header"/>
            <w:ind w:right="-115"/>
            <w:jc w:val="right"/>
          </w:pPr>
        </w:p>
      </w:tc>
    </w:tr>
  </w:tbl>
  <w:p w14:paraId="532BB8CD" w14:textId="7CAC8D91" w:rsidR="33EE1C9B" w:rsidRDefault="33EE1C9B" w:rsidP="33EE1C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02"/>
    <w:rsid w:val="00087306"/>
    <w:rsid w:val="000B38C9"/>
    <w:rsid w:val="000C4FAD"/>
    <w:rsid w:val="000E7549"/>
    <w:rsid w:val="00100EFC"/>
    <w:rsid w:val="0014634B"/>
    <w:rsid w:val="00160CD1"/>
    <w:rsid w:val="001D638E"/>
    <w:rsid w:val="002565F8"/>
    <w:rsid w:val="002658AA"/>
    <w:rsid w:val="002C5B51"/>
    <w:rsid w:val="002D01F2"/>
    <w:rsid w:val="00410C17"/>
    <w:rsid w:val="00441FF3"/>
    <w:rsid w:val="004C10E6"/>
    <w:rsid w:val="004C6F4D"/>
    <w:rsid w:val="004F5637"/>
    <w:rsid w:val="00504066"/>
    <w:rsid w:val="0050591B"/>
    <w:rsid w:val="00516A4D"/>
    <w:rsid w:val="00520547"/>
    <w:rsid w:val="005212E9"/>
    <w:rsid w:val="0055258E"/>
    <w:rsid w:val="0059691B"/>
    <w:rsid w:val="005B4A2A"/>
    <w:rsid w:val="00622CB3"/>
    <w:rsid w:val="00654E2A"/>
    <w:rsid w:val="00671962"/>
    <w:rsid w:val="00690427"/>
    <w:rsid w:val="006C681C"/>
    <w:rsid w:val="006F67D4"/>
    <w:rsid w:val="00735ABA"/>
    <w:rsid w:val="00823CD8"/>
    <w:rsid w:val="00831C30"/>
    <w:rsid w:val="0086435F"/>
    <w:rsid w:val="008A01B1"/>
    <w:rsid w:val="009476B1"/>
    <w:rsid w:val="0096041A"/>
    <w:rsid w:val="009A1D01"/>
    <w:rsid w:val="009A41DF"/>
    <w:rsid w:val="009F0436"/>
    <w:rsid w:val="009F3A02"/>
    <w:rsid w:val="009F4C25"/>
    <w:rsid w:val="00A376FE"/>
    <w:rsid w:val="00A77B50"/>
    <w:rsid w:val="00AD62E9"/>
    <w:rsid w:val="00AE102D"/>
    <w:rsid w:val="00B1003C"/>
    <w:rsid w:val="00B40F13"/>
    <w:rsid w:val="00BA4255"/>
    <w:rsid w:val="00BB028F"/>
    <w:rsid w:val="00BB63CC"/>
    <w:rsid w:val="00BD3421"/>
    <w:rsid w:val="00C25FCC"/>
    <w:rsid w:val="00C3785D"/>
    <w:rsid w:val="00C704A7"/>
    <w:rsid w:val="00C72A24"/>
    <w:rsid w:val="00C753C8"/>
    <w:rsid w:val="00C81B5B"/>
    <w:rsid w:val="00CC5AF7"/>
    <w:rsid w:val="00D20C28"/>
    <w:rsid w:val="00D336DB"/>
    <w:rsid w:val="00D36ED3"/>
    <w:rsid w:val="00D96BFC"/>
    <w:rsid w:val="00DD45BC"/>
    <w:rsid w:val="00DD7992"/>
    <w:rsid w:val="00DF198C"/>
    <w:rsid w:val="00E1647F"/>
    <w:rsid w:val="00E860B4"/>
    <w:rsid w:val="00EF38FC"/>
    <w:rsid w:val="00EF4F8B"/>
    <w:rsid w:val="00F12A1A"/>
    <w:rsid w:val="00F33EC5"/>
    <w:rsid w:val="00F3487A"/>
    <w:rsid w:val="00F43B61"/>
    <w:rsid w:val="00F57369"/>
    <w:rsid w:val="00F62021"/>
    <w:rsid w:val="00F7316E"/>
    <w:rsid w:val="00F75809"/>
    <w:rsid w:val="00FA5235"/>
    <w:rsid w:val="00FD2B59"/>
    <w:rsid w:val="0330DAD2"/>
    <w:rsid w:val="03D55DDF"/>
    <w:rsid w:val="0716EFF3"/>
    <w:rsid w:val="08107E08"/>
    <w:rsid w:val="08C3DDEB"/>
    <w:rsid w:val="0B4C72ED"/>
    <w:rsid w:val="0C906440"/>
    <w:rsid w:val="0FFE0F9F"/>
    <w:rsid w:val="145553FA"/>
    <w:rsid w:val="15C88D73"/>
    <w:rsid w:val="1715244D"/>
    <w:rsid w:val="19297F7D"/>
    <w:rsid w:val="1A1AA716"/>
    <w:rsid w:val="1A25529A"/>
    <w:rsid w:val="1AC00F12"/>
    <w:rsid w:val="1B82D8B5"/>
    <w:rsid w:val="1DE55CD5"/>
    <w:rsid w:val="1E880D6E"/>
    <w:rsid w:val="1EE400B0"/>
    <w:rsid w:val="207FD111"/>
    <w:rsid w:val="24295226"/>
    <w:rsid w:val="26931F53"/>
    <w:rsid w:val="278FFCB5"/>
    <w:rsid w:val="27ABC06C"/>
    <w:rsid w:val="2B30A299"/>
    <w:rsid w:val="2C52340D"/>
    <w:rsid w:val="2C7F318F"/>
    <w:rsid w:val="2D712D42"/>
    <w:rsid w:val="2ED4C90A"/>
    <w:rsid w:val="2F262EF9"/>
    <w:rsid w:val="30D9C40B"/>
    <w:rsid w:val="32035CFE"/>
    <w:rsid w:val="33EE1C9B"/>
    <w:rsid w:val="358CC55D"/>
    <w:rsid w:val="36046775"/>
    <w:rsid w:val="3778F481"/>
    <w:rsid w:val="386890DE"/>
    <w:rsid w:val="39E2C39E"/>
    <w:rsid w:val="3C574ED6"/>
    <w:rsid w:val="3C76D027"/>
    <w:rsid w:val="3DC02D68"/>
    <w:rsid w:val="3FAE70E9"/>
    <w:rsid w:val="403EEA8C"/>
    <w:rsid w:val="4083262E"/>
    <w:rsid w:val="42436112"/>
    <w:rsid w:val="46C52979"/>
    <w:rsid w:val="4729CE61"/>
    <w:rsid w:val="477003EB"/>
    <w:rsid w:val="4896DEDF"/>
    <w:rsid w:val="4A463780"/>
    <w:rsid w:val="4A81DC1A"/>
    <w:rsid w:val="4E06DC40"/>
    <w:rsid w:val="52E4A1AA"/>
    <w:rsid w:val="546D72A4"/>
    <w:rsid w:val="5783DB87"/>
    <w:rsid w:val="579DEE8C"/>
    <w:rsid w:val="5A26903E"/>
    <w:rsid w:val="5A75D12B"/>
    <w:rsid w:val="5B236DA0"/>
    <w:rsid w:val="5CBF3E01"/>
    <w:rsid w:val="5D5F60CA"/>
    <w:rsid w:val="5FF6DEC3"/>
    <w:rsid w:val="64EE7769"/>
    <w:rsid w:val="66B67B05"/>
    <w:rsid w:val="68C46107"/>
    <w:rsid w:val="693DBD38"/>
    <w:rsid w:val="6AD3879A"/>
    <w:rsid w:val="6BFFF340"/>
    <w:rsid w:val="6CDBEB21"/>
    <w:rsid w:val="6D04DA83"/>
    <w:rsid w:val="6D6325C7"/>
    <w:rsid w:val="6E7DF611"/>
    <w:rsid w:val="6F00F383"/>
    <w:rsid w:val="6F7EB498"/>
    <w:rsid w:val="71CC842B"/>
    <w:rsid w:val="727E9B28"/>
    <w:rsid w:val="72F854A6"/>
    <w:rsid w:val="732458B0"/>
    <w:rsid w:val="739E8BC4"/>
    <w:rsid w:val="750CA7E4"/>
    <w:rsid w:val="75CEF724"/>
    <w:rsid w:val="767C6D9B"/>
    <w:rsid w:val="78064223"/>
    <w:rsid w:val="785578C4"/>
    <w:rsid w:val="7922D5BF"/>
    <w:rsid w:val="7D5D65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7C72"/>
  <w15:chartTrackingRefBased/>
  <w15:docId w15:val="{181C938E-F2FA-499E-B8AC-F97BD5C9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A02"/>
    <w:pPr>
      <w:spacing w:after="0" w:line="240" w:lineRule="auto"/>
    </w:pPr>
    <w:rPr>
      <w:rFonts w:ascii="Verdana" w:hAnsi="Verdana"/>
      <w:sz w:val="24"/>
      <w:szCs w:val="20"/>
    </w:rPr>
  </w:style>
  <w:style w:type="paragraph" w:styleId="Heading6">
    <w:name w:val="heading 6"/>
    <w:basedOn w:val="Normal"/>
    <w:next w:val="12space"/>
    <w:link w:val="Heading6Char"/>
    <w:uiPriority w:val="9"/>
    <w:qFormat/>
    <w:rsid w:val="009F3A02"/>
    <w:pPr>
      <w:keepNext/>
      <w:keepLines/>
      <w:spacing w:before="100" w:after="100"/>
      <w:outlineLvl w:val="5"/>
    </w:pPr>
    <w:rPr>
      <w:rFonts w:ascii="Arial" w:eastAsiaTheme="majorEastAsia" w:hAnsi="Arial" w:cstheme="majorBidi"/>
      <w:b/>
      <w:i/>
      <w:iCs/>
      <w:sz w:val="26"/>
    </w:rPr>
  </w:style>
  <w:style w:type="paragraph" w:styleId="Heading7">
    <w:name w:val="heading 7"/>
    <w:basedOn w:val="Normal"/>
    <w:next w:val="12space"/>
    <w:link w:val="Heading7Char"/>
    <w:uiPriority w:val="9"/>
    <w:qFormat/>
    <w:rsid w:val="009F3A02"/>
    <w:pPr>
      <w:keepNext/>
      <w:keepLines/>
      <w:spacing w:before="100" w:after="60"/>
      <w:outlineLvl w:val="6"/>
    </w:pPr>
    <w:rPr>
      <w:rFonts w:ascii="Arial" w:eastAsiaTheme="majorEastAsia" w:hAnsi="Arial"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9F3A02"/>
    <w:rPr>
      <w:rFonts w:ascii="Arial" w:eastAsiaTheme="majorEastAsia" w:hAnsi="Arial" w:cstheme="majorBidi"/>
      <w:b/>
      <w:i/>
      <w:iCs/>
      <w:sz w:val="26"/>
      <w:szCs w:val="20"/>
    </w:rPr>
  </w:style>
  <w:style w:type="character" w:customStyle="1" w:styleId="Heading7Char">
    <w:name w:val="Heading 7 Char"/>
    <w:basedOn w:val="DefaultParagraphFont"/>
    <w:link w:val="Heading7"/>
    <w:uiPriority w:val="9"/>
    <w:rsid w:val="009F3A02"/>
    <w:rPr>
      <w:rFonts w:ascii="Arial" w:eastAsiaTheme="majorEastAsia" w:hAnsi="Arial" w:cstheme="majorBidi"/>
      <w:b/>
      <w:iCs/>
      <w:sz w:val="24"/>
      <w:szCs w:val="20"/>
    </w:rPr>
  </w:style>
  <w:style w:type="paragraph" w:customStyle="1" w:styleId="12space">
    <w:name w:val="1.2 space"/>
    <w:basedOn w:val="Normal"/>
    <w:link w:val="12spaceChar"/>
    <w:qFormat/>
    <w:rsid w:val="009F3A02"/>
    <w:pPr>
      <w:spacing w:after="240" w:line="288" w:lineRule="exact"/>
    </w:pPr>
  </w:style>
  <w:style w:type="character" w:styleId="Hyperlink">
    <w:name w:val="Hyperlink"/>
    <w:basedOn w:val="DefaultParagraphFont"/>
    <w:uiPriority w:val="99"/>
    <w:qFormat/>
    <w:rsid w:val="009F3A02"/>
    <w:rPr>
      <w:color w:val="auto"/>
      <w:u w:val="single"/>
    </w:rPr>
  </w:style>
  <w:style w:type="paragraph" w:customStyle="1" w:styleId="TableNoTitle">
    <w:name w:val="Table No./Title"/>
    <w:basedOn w:val="Normal"/>
    <w:qFormat/>
    <w:rsid w:val="009F3A02"/>
    <w:pPr>
      <w:keepNext/>
      <w:keepLines/>
      <w:spacing w:after="120"/>
      <w:ind w:left="-86" w:firstLine="86"/>
      <w:jc w:val="center"/>
    </w:pPr>
    <w:rPr>
      <w:rFonts w:ascii="Arial" w:eastAsia="Times New Roman" w:hAnsi="Arial" w:cs="Times New Roman"/>
      <w:b/>
      <w:smallCaps/>
      <w:sz w:val="22"/>
      <w:szCs w:val="18"/>
    </w:rPr>
  </w:style>
  <w:style w:type="table" w:styleId="TableGrid">
    <w:name w:val="Table Grid"/>
    <w:basedOn w:val="TableNormal"/>
    <w:rsid w:val="009F3A02"/>
    <w:pPr>
      <w:spacing w:after="0" w:line="240" w:lineRule="auto"/>
    </w:pPr>
    <w:rPr>
      <w:rFonts w:ascii="Tms Rmn" w:eastAsia="Times New Roman" w:hAnsi="Tms Rm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9F3A02"/>
    <w:rPr>
      <w:sz w:val="16"/>
      <w:szCs w:val="16"/>
    </w:rPr>
  </w:style>
  <w:style w:type="paragraph" w:styleId="CommentText">
    <w:name w:val="annotation text"/>
    <w:basedOn w:val="Normal"/>
    <w:link w:val="CommentTextChar"/>
    <w:uiPriority w:val="99"/>
    <w:rsid w:val="009F3A02"/>
    <w:rPr>
      <w:sz w:val="20"/>
    </w:rPr>
  </w:style>
  <w:style w:type="character" w:customStyle="1" w:styleId="CommentTextChar">
    <w:name w:val="Comment Text Char"/>
    <w:basedOn w:val="DefaultParagraphFont"/>
    <w:link w:val="CommentText"/>
    <w:uiPriority w:val="99"/>
    <w:rsid w:val="009F3A02"/>
    <w:rPr>
      <w:rFonts w:ascii="Verdana" w:hAnsi="Verdana"/>
      <w:sz w:val="20"/>
      <w:szCs w:val="20"/>
    </w:rPr>
  </w:style>
  <w:style w:type="character" w:customStyle="1" w:styleId="12spaceChar">
    <w:name w:val="1.2 space Char"/>
    <w:link w:val="12space"/>
    <w:rsid w:val="009F3A02"/>
    <w:rPr>
      <w:rFonts w:ascii="Verdana" w:hAnsi="Verdana"/>
      <w:sz w:val="24"/>
      <w:szCs w:val="20"/>
    </w:rPr>
  </w:style>
  <w:style w:type="paragraph" w:styleId="Bibliography">
    <w:name w:val="Bibliography"/>
    <w:basedOn w:val="Normal"/>
    <w:next w:val="Normal"/>
    <w:uiPriority w:val="37"/>
    <w:unhideWhenUsed/>
    <w:rsid w:val="009F0436"/>
  </w:style>
  <w:style w:type="paragraph" w:styleId="CommentSubject">
    <w:name w:val="annotation subject"/>
    <w:basedOn w:val="CommentText"/>
    <w:next w:val="CommentText"/>
    <w:link w:val="CommentSubjectChar"/>
    <w:uiPriority w:val="99"/>
    <w:semiHidden/>
    <w:unhideWhenUsed/>
    <w:rsid w:val="009A1D01"/>
    <w:rPr>
      <w:b/>
      <w:bCs/>
    </w:rPr>
  </w:style>
  <w:style w:type="character" w:customStyle="1" w:styleId="CommentSubjectChar">
    <w:name w:val="Comment Subject Char"/>
    <w:basedOn w:val="CommentTextChar"/>
    <w:link w:val="CommentSubject"/>
    <w:uiPriority w:val="99"/>
    <w:semiHidden/>
    <w:rsid w:val="009A1D01"/>
    <w:rPr>
      <w:rFonts w:ascii="Verdana" w:hAnsi="Verdana"/>
      <w:b/>
      <w:bCs/>
      <w:sz w:val="20"/>
      <w:szCs w:val="20"/>
    </w:rPr>
  </w:style>
  <w:style w:type="character" w:styleId="Mention">
    <w:name w:val="Mention"/>
    <w:basedOn w:val="DefaultParagraphFont"/>
    <w:uiPriority w:val="99"/>
    <w:unhideWhenUsed/>
    <w:rsid w:val="002658AA"/>
    <w:rPr>
      <w:color w:val="2B579A"/>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Revision">
    <w:name w:val="Revision"/>
    <w:hidden/>
    <w:uiPriority w:val="99"/>
    <w:semiHidden/>
    <w:rsid w:val="00F75809"/>
    <w:pPr>
      <w:spacing w:after="0" w:line="240" w:lineRule="auto"/>
    </w:pPr>
    <w:rPr>
      <w:rFonts w:ascii="Verdana" w:hAnsi="Verdan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ntinels.copernicus.eu/web/sentinel/user-guides/sentinel-3-olci/resolutions/radiometric"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g.optica.org/ao/viewmedia.cfm?uri=ao-38-36-7442&amp;seq=0&amp;html=tru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iencedirect.com/science/article/pii/S0034425714002211" TargetMode="External"/><Relationship Id="rId4" Type="http://schemas.openxmlformats.org/officeDocument/2006/relationships/settings" Target="settings.xml"/><Relationship Id="rId9" Type="http://schemas.openxmlformats.org/officeDocument/2006/relationships/hyperlink" Target="https://cfpub.epa.gov/si/si_public_record_report.cfm?Lab=NERL&amp;dirEntryId=30941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F426C5941C634898DECC69F43B1B84" ma:contentTypeVersion="17" ma:contentTypeDescription="Create a new document." ma:contentTypeScope="" ma:versionID="eef70f1d60d7c68f315cb7cae40af3c7">
  <xsd:schema xmlns:xsd="http://www.w3.org/2001/XMLSchema" xmlns:xs="http://www.w3.org/2001/XMLSchema" xmlns:p="http://schemas.microsoft.com/office/2006/metadata/properties" xmlns:ns1="http://schemas.microsoft.com/sharepoint/v3" xmlns:ns2="a26c063d-e4ab-4c2c-a5f9-3b05989843c6" xmlns:ns3="73166ee1-6b64-49a2-af77-8563fe7cb853" xmlns:ns4="31062a0d-ede8-4112-b4bb-00a9c1bc8e16" targetNamespace="http://schemas.microsoft.com/office/2006/metadata/properties" ma:root="true" ma:fieldsID="7f068be43849b2a3dd8b85cfd0a3e31e" ns1:_="" ns2:_="" ns3:_="" ns4:_="">
    <xsd:import namespace="http://schemas.microsoft.com/sharepoint/v3"/>
    <xsd:import namespace="a26c063d-e4ab-4c2c-a5f9-3b05989843c6"/>
    <xsd:import namespace="73166ee1-6b64-49a2-af77-8563fe7cb853"/>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LengthInSecond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c063d-e4ab-4c2c-a5f9-3b0598984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166ee1-6b64-49a2-af77-8563fe7cb85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171f4bf-df9e-4530-a04f-417f2293f133}" ma:internalName="TaxCatchAll" ma:showField="CatchAllData" ma:web="73166ee1-6b64-49a2-af77-8563fe7cb8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5FBC4C-3ED4-4F78-A46D-C18AC331BD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6c063d-e4ab-4c2c-a5f9-3b05989843c6"/>
    <ds:schemaRef ds:uri="73166ee1-6b64-49a2-af77-8563fe7cb853"/>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13A868-E2AD-4CA1-A7A4-C56872158E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6752</Words>
  <Characters>38488</Characters>
  <Application>Microsoft Office Word</Application>
  <DocSecurity>0</DocSecurity>
  <Lines>320</Lines>
  <Paragraphs>90</Paragraphs>
  <ScaleCrop>false</ScaleCrop>
  <Company>Department of Interior</Company>
  <LinksUpToDate>false</LinksUpToDate>
  <CharactersWithSpaces>45150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Cone, Katrina (Kat)</dc:creator>
  <cp:keywords/>
  <dc:description/>
  <cp:lastModifiedBy>Baxter, Tim J</cp:lastModifiedBy>
  <cp:revision>79</cp:revision>
  <dcterms:created xsi:type="dcterms:W3CDTF">2024-01-05T22:15:00Z</dcterms:created>
  <dcterms:modified xsi:type="dcterms:W3CDTF">2024-01-25T21:11:00Z</dcterms:modified>
</cp:coreProperties>
</file>