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AB52" w14:textId="77777777" w:rsidR="00C35A80" w:rsidRPr="00C35A80" w:rsidRDefault="00C35A80" w:rsidP="00C35A80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proofErr w:type="gramStart"/>
      <w:r w:rsidRPr="00C35A80">
        <w:rPr>
          <w:rFonts w:ascii="Arial" w:eastAsia="新細明體" w:hAnsi="Arial" w:cs="Arial"/>
          <w:kern w:val="36"/>
          <w:sz w:val="50"/>
          <w:szCs w:val="50"/>
        </w:rPr>
        <w:t>技能解封中間</w:t>
      </w:r>
      <w:proofErr w:type="gramEnd"/>
      <w:r w:rsidRPr="00C35A80">
        <w:rPr>
          <w:rFonts w:ascii="Arial" w:eastAsia="新細明體" w:hAnsi="Arial" w:cs="Arial"/>
          <w:kern w:val="36"/>
          <w:sz w:val="50"/>
          <w:szCs w:val="50"/>
        </w:rPr>
        <w:t>章程</w:t>
      </w:r>
      <w:r w:rsidRPr="00C35A80">
        <w:rPr>
          <w:rFonts w:ascii="Arial" w:eastAsia="新細明體" w:hAnsi="Arial" w:cs="Arial"/>
          <w:kern w:val="36"/>
          <w:sz w:val="50"/>
          <w:szCs w:val="50"/>
        </w:rPr>
        <w:t>-</w:t>
      </w:r>
      <w:r w:rsidRPr="00C35A80">
        <w:rPr>
          <w:rFonts w:ascii="Arial" w:eastAsia="新細明體" w:hAnsi="Arial" w:cs="Arial"/>
          <w:kern w:val="36"/>
          <w:sz w:val="50"/>
          <w:szCs w:val="50"/>
        </w:rPr>
        <w:t>城池間敢死報信者</w:t>
      </w:r>
      <w:r w:rsidRPr="00C35A80">
        <w:rPr>
          <w:rFonts w:ascii="Arial" w:eastAsia="新細明體" w:hAnsi="Arial" w:cs="Arial"/>
          <w:kern w:val="36"/>
          <w:sz w:val="50"/>
          <w:szCs w:val="50"/>
        </w:rPr>
        <w:t>(Azure Alert)</w:t>
      </w:r>
    </w:p>
    <w:p w14:paraId="7C1E1FB5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2AB3686D" w14:textId="77777777" w:rsidR="00C35A80" w:rsidRPr="00C35A80" w:rsidRDefault="00C35A80" w:rsidP="00C35A80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5" w:history="1">
        <w:r w:rsidRPr="00C35A80">
          <w:rPr>
            <w:rFonts w:ascii="inherit" w:eastAsia="新細明體" w:hAnsi="inherit" w:cs="新細明體"/>
            <w:color w:val="44C2B2"/>
            <w:kern w:val="0"/>
            <w:szCs w:val="24"/>
            <w:u w:val="single"/>
            <w:bdr w:val="none" w:sz="0" w:space="0" w:color="auto" w:frame="1"/>
          </w:rPr>
          <w:t>https://ithelp.ithome.com.tw/articles/10214085</w:t>
        </w:r>
      </w:hyperlink>
    </w:p>
    <w:p w14:paraId="3FB9F93C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5C9B5241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p w14:paraId="4DAF7130" w14:textId="77777777" w:rsidR="00C35A80" w:rsidRPr="00C35A80" w:rsidRDefault="00C35A80" w:rsidP="00C35A80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Azure Alert </w:t>
      </w:r>
      <w:r w:rsidRPr="00C35A80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依下列定價面向計費：</w:t>
      </w:r>
    </w:p>
    <w:p w14:paraId="5E9615A7" w14:textId="77777777" w:rsidR="00C35A80" w:rsidRPr="00C35A80" w:rsidRDefault="00C35A80" w:rsidP="00C35A80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警示規則的費用會根據其監視的訊號類型與數目而定。訊號可為資源計數、記錄或活動記錄。監視多個訊號的警示規則成本，是監視每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訊號和所有已啟用功能的成本總計。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914"/>
        <w:gridCol w:w="5866"/>
      </w:tblGrid>
      <w:tr w:rsidR="00C35A80" w:rsidRPr="00C35A80" w14:paraId="29053FC0" w14:textId="77777777" w:rsidTr="00C35A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EC991FE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警示訊號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5F28D7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包含免費單位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52935E4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價格</w:t>
            </w:r>
          </w:p>
        </w:tc>
      </w:tr>
      <w:tr w:rsidR="00C35A80" w:rsidRPr="00C35A80" w14:paraId="43E78627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96B6D0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計量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941D1C6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10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監視的計量時間序列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D196FEC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每月每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監視的計量時間序列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NT$3.006</w:t>
            </w:r>
          </w:p>
        </w:tc>
      </w:tr>
      <w:tr w:rsidR="00C35A80" w:rsidRPr="00C35A80" w14:paraId="15EBF304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41262B5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記錄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06179BD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無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6884C8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15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分鐘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(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含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)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以上的間隔：每月每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監視的記錄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NT$15.028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br/>
              <w:t xml:space="preserve">10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分鐘的間隔：每月每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監視的記錄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NT$30.055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br/>
              <w:t xml:space="preserve">5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分鐘的間隔：每月每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監視的記錄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NT$45.082</w:t>
            </w:r>
          </w:p>
        </w:tc>
      </w:tr>
      <w:tr w:rsidR="00C35A80" w:rsidRPr="00C35A80" w14:paraId="62E7D42B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7D6A77D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活動記錄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0E4216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無限制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AE15E34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</w:tr>
      <w:tr w:rsidR="00C35A80" w:rsidRPr="00C35A80" w14:paraId="25785F10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2C3696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動態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閾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DAEC6CB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無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50D2CB1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NT$3.006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 /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/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每個動態閾值</w:t>
            </w:r>
          </w:p>
        </w:tc>
      </w:tr>
    </w:tbl>
    <w:p w14:paraId="15E3BDB6" w14:textId="77777777" w:rsidR="00C35A80" w:rsidRPr="00C35A80" w:rsidRDefault="00C35A80" w:rsidP="00C35A80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訂用帳戶的設定限制為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100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計量時間序列警示、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100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活動記錄警示，以及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10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動作群組。若要提高限制，請連絡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支援服務。</w:t>
      </w:r>
    </w:p>
    <w:p w14:paraId="5CF19AE0" w14:textId="77777777" w:rsidR="00C35A80" w:rsidRPr="00C35A80" w:rsidRDefault="00C35A80" w:rsidP="00C35A80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活動記錄免費供應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90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天。如需於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90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天後保留活動記錄資料，可將活動記錄資料路由至儲存體帳戶或事件中樞。將分別對儲存體及事件中樞收取對應的費用。提取活動記錄資料的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API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呼叫不會產生費用。</w:t>
      </w:r>
    </w:p>
    <w:p w14:paraId="3BCF6036" w14:textId="77777777" w:rsidR="00C35A80" w:rsidRPr="00C35A80" w:rsidRDefault="00C35A80" w:rsidP="00C35A80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 xml:space="preserve">Azure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資訊安全中心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(ASC)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附帶提供的警示目前並不收費。</w:t>
      </w:r>
    </w:p>
    <w:p w14:paraId="1DAAD37B" w14:textId="77777777" w:rsidR="00C35A80" w:rsidRPr="00C35A80" w:rsidRDefault="00C35A80" w:rsidP="00C35A80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為健全準則建立的警示並不收費。</w:t>
      </w:r>
    </w:p>
    <w:p w14:paraId="3D7FE3AF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動態警示會就動態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閾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值功能與基礎計量警示收費。</w:t>
      </w:r>
    </w:p>
    <w:p w14:paraId="6E4E8DC8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範例如下：</w:t>
      </w:r>
    </w:p>
    <w:p w14:paraId="56A2305C" w14:textId="77777777" w:rsidR="00C35A80" w:rsidRPr="00C35A80" w:rsidRDefault="00C35A80" w:rsidP="00C35A80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為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部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監視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CPU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使用率與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RAM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使用量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即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2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計量時間序列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，且啟用動態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閾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值的警示規則價格，以下列公式計算：</w:t>
      </w:r>
    </w:p>
    <w:p w14:paraId="27261942" w14:textId="77777777" w:rsidR="00C35A80" w:rsidRPr="00C35A80" w:rsidRDefault="00C35A80" w:rsidP="00C35A80">
      <w:pPr>
        <w:widowControl/>
        <w:numPr>
          <w:ilvl w:val="1"/>
          <w:numId w:val="2"/>
        </w:numPr>
        <w:shd w:val="clear" w:color="auto" w:fill="FFFFFF"/>
        <w:ind w:left="222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警示規則價格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+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動態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閾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值價格。</w:t>
      </w:r>
    </w:p>
    <w:p w14:paraId="7BA3B8AA" w14:textId="77777777" w:rsidR="00C35A80" w:rsidRPr="00C35A80" w:rsidRDefault="00C35A80" w:rsidP="00C35A80">
      <w:pPr>
        <w:widowControl/>
        <w:numPr>
          <w:ilvl w:val="1"/>
          <w:numId w:val="2"/>
        </w:numPr>
        <w:shd w:val="clear" w:color="auto" w:fill="FFFFFF"/>
        <w:ind w:left="222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(10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部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VM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每部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VM 2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計量時間序列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10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免費單位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)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每月每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計量時間序列警示規則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  <w:r w:rsidRPr="00C35A80">
        <w:rPr>
          <w:rFonts w:ascii="inherit" w:eastAsia="新細明體" w:hAnsi="inherit" w:cs="新細明體"/>
          <w:color w:val="333333"/>
          <w:kern w:val="0"/>
          <w:szCs w:val="24"/>
          <w:bdr w:val="none" w:sz="0" w:space="0" w:color="auto" w:frame="1"/>
        </w:rPr>
        <w:t>NT$3.006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 + [(10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部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VM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每部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VM 2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個計量時間序列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)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每月每個動態閾值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  <w:r w:rsidRPr="00C35A80">
        <w:rPr>
          <w:rFonts w:ascii="inherit" w:eastAsia="新細明體" w:hAnsi="inherit" w:cs="新細明體"/>
          <w:color w:val="333333"/>
          <w:kern w:val="0"/>
          <w:szCs w:val="24"/>
          <w:bdr w:val="none" w:sz="0" w:space="0" w:color="auto" w:frame="1"/>
        </w:rPr>
        <w:t>NT$3.006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] =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每月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  <w:r w:rsidRPr="00C35A80">
        <w:rPr>
          <w:rFonts w:ascii="inherit" w:eastAsia="新細明體" w:hAnsi="inherit" w:cs="新細明體"/>
          <w:color w:val="333333"/>
          <w:kern w:val="0"/>
          <w:szCs w:val="24"/>
          <w:bdr w:val="none" w:sz="0" w:space="0" w:color="auto" w:frame="1"/>
        </w:rPr>
        <w:t>NT$90.163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52F03ABB" w14:textId="77777777" w:rsidR="00C35A80" w:rsidRPr="00C35A80" w:rsidRDefault="00C35A80" w:rsidP="00C35A80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15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分鐘查詢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Log Analytics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工作區是否有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404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錯誤的警示規則價格，以下列公式計算：</w:t>
      </w:r>
    </w:p>
    <w:p w14:paraId="650A0434" w14:textId="77777777" w:rsidR="00C35A80" w:rsidRPr="00C35A80" w:rsidRDefault="00C35A80" w:rsidP="00C35A80">
      <w:pPr>
        <w:widowControl/>
        <w:numPr>
          <w:ilvl w:val="1"/>
          <w:numId w:val="2"/>
        </w:numPr>
        <w:shd w:val="clear" w:color="auto" w:fill="FFFFFF"/>
        <w:ind w:left="222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工作區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記錄警示查詢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1 *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每月每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記錄警示規則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  <w:r w:rsidRPr="00C35A80">
        <w:rPr>
          <w:rFonts w:ascii="inherit" w:eastAsia="新細明體" w:hAnsi="inherit" w:cs="新細明體"/>
          <w:color w:val="333333"/>
          <w:kern w:val="0"/>
          <w:szCs w:val="24"/>
          <w:bdr w:val="none" w:sz="0" w:space="0" w:color="auto" w:frame="1"/>
        </w:rPr>
        <w:t>NT$15.028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 =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每月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  <w:r w:rsidRPr="00C35A80">
        <w:rPr>
          <w:rFonts w:ascii="inherit" w:eastAsia="新細明體" w:hAnsi="inherit" w:cs="新細明體"/>
          <w:color w:val="333333"/>
          <w:kern w:val="0"/>
          <w:szCs w:val="24"/>
          <w:bdr w:val="none" w:sz="0" w:space="0" w:color="auto" w:frame="1"/>
        </w:rPr>
        <w:t>NT$15.028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4C502AC9" w14:textId="77777777" w:rsidR="00C35A80" w:rsidRPr="00C35A80" w:rsidRDefault="00C35A80" w:rsidP="00C35A80">
      <w:pPr>
        <w:widowControl/>
        <w:shd w:val="clear" w:color="auto" w:fill="FFFFFF"/>
        <w:spacing w:before="390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25"/>
          <w:szCs w:val="25"/>
        </w:rPr>
      </w:pPr>
      <w:r w:rsidRPr="00C35A80">
        <w:rPr>
          <w:rFonts w:ascii="Arial" w:eastAsia="新細明體" w:hAnsi="Arial" w:cs="Arial"/>
          <w:color w:val="333333"/>
          <w:kern w:val="0"/>
          <w:sz w:val="25"/>
          <w:szCs w:val="25"/>
        </w:rPr>
        <w:t>通知觸發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2492"/>
        <w:gridCol w:w="4117"/>
      </w:tblGrid>
      <w:tr w:rsidR="00C35A80" w:rsidRPr="00C35A80" w14:paraId="61F67C4B" w14:textId="77777777" w:rsidTr="00C35A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A865070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DC8B659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包含免費單位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808501F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價格</w:t>
            </w:r>
          </w:p>
        </w:tc>
      </w:tr>
      <w:tr w:rsidR="00C35A80" w:rsidRPr="00C35A80" w14:paraId="2EBF6F62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80B2A94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ITSM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連接器建立或更新事件</w:t>
            </w:r>
            <w:r w:rsidRPr="00C35A80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F6D47BB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1,000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個事件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E65B437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NT$150.271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/1,000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事件</w:t>
            </w:r>
          </w:p>
        </w:tc>
      </w:tr>
      <w:tr w:rsidR="00C35A80" w:rsidRPr="00C35A80" w14:paraId="1C6E475B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120CE6F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電子郵件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29C24E8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1,000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封電子郵件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B40B50C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NT$60.109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/100,000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封電子郵件</w:t>
            </w:r>
          </w:p>
        </w:tc>
      </w:tr>
      <w:tr w:rsidR="00C35A80" w:rsidRPr="00C35A80" w14:paraId="08D68884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DB4382A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推播通知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(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對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Azure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行動應用程式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5DB6F63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1,000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則通知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E4CF16C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NT$60.109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/100,000 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則通知</w:t>
            </w:r>
          </w:p>
        </w:tc>
      </w:tr>
      <w:tr w:rsidR="00C35A80" w:rsidRPr="00C35A80" w14:paraId="120E336D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93FDFFC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安全的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Webhook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2808A96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1 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安全的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Webhook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8514D45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NT$180.326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/1,000,000 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安全的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Webhook</w:t>
            </w:r>
          </w:p>
        </w:tc>
      </w:tr>
      <w:tr w:rsidR="00C35A80" w:rsidRPr="00C35A80" w14:paraId="4B8BB50B" w14:textId="77777777" w:rsidTr="00C35A80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5D78A87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Webhook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8EA4424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每月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100,000 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Webhook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E4516E2" w14:textId="77777777" w:rsidR="00C35A80" w:rsidRPr="00C35A80" w:rsidRDefault="00C35A80" w:rsidP="00C35A80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C35A80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NT$18.033</w:t>
            </w:r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/1,000,000 </w:t>
            </w:r>
            <w:proofErr w:type="gramStart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C35A80">
              <w:rPr>
                <w:rFonts w:ascii="inherit" w:eastAsia="新細明體" w:hAnsi="inherit" w:cs="新細明體"/>
                <w:kern w:val="0"/>
                <w:szCs w:val="24"/>
              </w:rPr>
              <w:t xml:space="preserve"> Webhook</w:t>
            </w:r>
          </w:p>
        </w:tc>
      </w:tr>
    </w:tbl>
    <w:p w14:paraId="49AD31C6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Azure Alert Q&amp;A</w:t>
      </w:r>
    </w:p>
    <w:p w14:paraId="145B5D69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上述定價是否適用活動記錄、服務健康狀態與資源健康狀態警示規則？</w:t>
      </w:r>
    </w:p>
    <w:p w14:paraId="101B4EE1" w14:textId="77777777" w:rsidR="00C35A80" w:rsidRPr="00C35A80" w:rsidRDefault="00C35A80" w:rsidP="00C35A80">
      <w:pPr>
        <w:widowControl/>
        <w:numPr>
          <w:ilvl w:val="0"/>
          <w:numId w:val="3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可繼續免費使用活動記錄、服務健康狀態與資源健康狀態警示規則。</w:t>
      </w:r>
    </w:p>
    <w:p w14:paraId="02ADB707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警示通知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透過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Azure 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動作群組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C35A80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的費用是否包含在警示規則的費用內？</w:t>
      </w:r>
    </w:p>
    <w:p w14:paraId="5D533E3D" w14:textId="77777777" w:rsidR="00C35A80" w:rsidRPr="00C35A80" w:rsidRDefault="00C35A80" w:rsidP="00C35A80">
      <w:pPr>
        <w:widowControl/>
        <w:numPr>
          <w:ilvl w:val="0"/>
          <w:numId w:val="4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警示通知會根據使用的通知類型個別收費。</w:t>
      </w:r>
    </w:p>
    <w:p w14:paraId="5D879AEE" w14:textId="77777777" w:rsidR="00C35A80" w:rsidRPr="00C35A80" w:rsidRDefault="00C35A80" w:rsidP="00C35A80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C35A80">
        <w:rPr>
          <w:rFonts w:ascii="Arial" w:eastAsia="新細明體" w:hAnsi="Arial" w:cs="Arial"/>
          <w:color w:val="333333"/>
          <w:kern w:val="0"/>
          <w:sz w:val="17"/>
          <w:szCs w:val="17"/>
        </w:rPr>
        <w:t>如果還是傳統警示平台上的既有客戶，是否適用上述的警示規則定價？</w:t>
      </w:r>
    </w:p>
    <w:p w14:paraId="364F751A" w14:textId="77777777" w:rsidR="00C35A80" w:rsidRPr="00C35A80" w:rsidRDefault="00C35A80" w:rsidP="00C35A80">
      <w:pPr>
        <w:widowControl/>
        <w:numPr>
          <w:ilvl w:val="0"/>
          <w:numId w:val="5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上列定價適用新的警示平台。若你將現有警示規則從傳統警示平台移轉到新平台，則上述定價一律適用。</w:t>
      </w:r>
    </w:p>
    <w:p w14:paraId="214C3BB7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049BAA16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服務架構</w:t>
      </w:r>
    </w:p>
    <w:p w14:paraId="62D8AFDC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警示規則需要備觸發而有進一步您設置所採取的動作。規則可以是啟用或停用狀態。而警示只有在啟用狀態才會觸發。</w:t>
      </w:r>
    </w:p>
    <w:p w14:paraId="2DDF68A9" w14:textId="77777777" w:rsidR="00C35A80" w:rsidRPr="00C35A80" w:rsidRDefault="00C35A80" w:rsidP="00C35A80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以下說明警示規則的關鍵屬性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br/>
        <w:t>1.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目標資源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定義可用於警示任何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範圍資源。標的如：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VM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、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Storage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、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VMSS(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自動擴展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、</w:t>
      </w:r>
      <w:proofErr w:type="spell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WebApps</w:t>
      </w:r>
      <w:proofErr w:type="spell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、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SQL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等資源。均可指定多個資源作為警示規則的目標。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br/>
        <w:t>2.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信號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由目標資源做觸發，可以是以下類型如：計量、活動記錄、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Application Insights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。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br/>
        <w:t>3.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準則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用於目標資源信號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邏輯間的組合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6EBED7C9" w14:textId="77777777" w:rsidR="00C35A80" w:rsidRPr="00C35A80" w:rsidRDefault="00C35A80" w:rsidP="00C35A80">
      <w:pPr>
        <w:widowControl/>
        <w:numPr>
          <w:ilvl w:val="0"/>
          <w:numId w:val="6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CPU &gt;= 70%</w:t>
      </w:r>
    </w:p>
    <w:p w14:paraId="2A69234C" w14:textId="77777777" w:rsidR="00C35A80" w:rsidRPr="00C35A80" w:rsidRDefault="00C35A80" w:rsidP="00C35A80">
      <w:pPr>
        <w:widowControl/>
        <w:numPr>
          <w:ilvl w:val="0"/>
          <w:numId w:val="6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MEM &gt;= 75%</w:t>
      </w:r>
    </w:p>
    <w:p w14:paraId="1E7BD608" w14:textId="77777777" w:rsidR="00C35A80" w:rsidRPr="00C35A80" w:rsidRDefault="00C35A80" w:rsidP="00C35A80">
      <w:pPr>
        <w:widowControl/>
        <w:numPr>
          <w:ilvl w:val="0"/>
          <w:numId w:val="6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主機回應時間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&gt;= 1sec</w:t>
      </w:r>
    </w:p>
    <w:p w14:paraId="0FCEA5F5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4.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嚴重性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符合警示規則中指定準則之後的警示嚴重性。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嚴重性的範圍可從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0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到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4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05C17290" w14:textId="77777777" w:rsidR="00C35A80" w:rsidRPr="00C35A80" w:rsidRDefault="00C35A80" w:rsidP="00C35A80">
      <w:pPr>
        <w:widowControl/>
        <w:numPr>
          <w:ilvl w:val="0"/>
          <w:numId w:val="7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Sev 0 = Critical(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重大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6954A785" w14:textId="77777777" w:rsidR="00C35A80" w:rsidRPr="00C35A80" w:rsidRDefault="00C35A80" w:rsidP="00C35A80">
      <w:pPr>
        <w:widowControl/>
        <w:numPr>
          <w:ilvl w:val="0"/>
          <w:numId w:val="7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Sev 1 = Error(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錯誤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6FAB95C5" w14:textId="77777777" w:rsidR="00C35A80" w:rsidRPr="00C35A80" w:rsidRDefault="00C35A80" w:rsidP="00C35A80">
      <w:pPr>
        <w:widowControl/>
        <w:numPr>
          <w:ilvl w:val="0"/>
          <w:numId w:val="7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Sev 2 = Warning(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警告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249D9B75" w14:textId="77777777" w:rsidR="00C35A80" w:rsidRPr="00C35A80" w:rsidRDefault="00C35A80" w:rsidP="00C35A80">
      <w:pPr>
        <w:widowControl/>
        <w:numPr>
          <w:ilvl w:val="0"/>
          <w:numId w:val="7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Sev 3 = Informational(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資訊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4D6198C4" w14:textId="77777777" w:rsidR="00C35A80" w:rsidRPr="00C35A80" w:rsidRDefault="00C35A80" w:rsidP="00C35A80">
      <w:pPr>
        <w:widowControl/>
        <w:numPr>
          <w:ilvl w:val="0"/>
          <w:numId w:val="7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Sev 4 = Verbose(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詳細資訊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342E790F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5.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動作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–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觸發警示時採取執行的動作群組。</w:t>
      </w:r>
    </w:p>
    <w:p w14:paraId="75E716D4" w14:textId="1DC74263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1BBDA449" wp14:editId="2420EA3F">
            <wp:extent cx="3619500" cy="43148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AFD0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345C8E83" w14:textId="77777777" w:rsidR="00C35A80" w:rsidRPr="00C35A80" w:rsidRDefault="00C35A80" w:rsidP="00C35A80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簡易實測環境</w:t>
      </w:r>
    </w:p>
    <w:p w14:paraId="5DD40A29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找到警示服務</w:t>
      </w:r>
    </w:p>
    <w:p w14:paraId="2A96A72E" w14:textId="023A3AF6" w:rsidR="00C35A80" w:rsidRPr="00C35A80" w:rsidRDefault="00C35A80" w:rsidP="00C35A80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C35A80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lastRenderedPageBreak/>
        <w:drawing>
          <wp:inline distT="0" distB="0" distL="0" distR="0" wp14:anchorId="55543ED0" wp14:editId="51FD6C8D">
            <wp:extent cx="5274310" cy="2853055"/>
            <wp:effectExtent l="0" t="0" r="2540" b="4445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52D8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先建立新的警示規則</w:t>
      </w:r>
    </w:p>
    <w:p w14:paraId="1EAF1F15" w14:textId="2A56B9CF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BFA978B" wp14:editId="6F40F728">
            <wp:extent cx="1847850" cy="2981325"/>
            <wp:effectExtent l="0" t="0" r="0" b="952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30C9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選擇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你要警示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的資源類型</w:t>
      </w:r>
    </w:p>
    <w:p w14:paraId="4F8465C9" w14:textId="7B05E736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7946B23" wp14:editId="3E2A6232">
            <wp:extent cx="5274310" cy="8267065"/>
            <wp:effectExtent l="0" t="0" r="254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B6E6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選擇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WebApp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重新開機為觸發條件</w:t>
      </w:r>
    </w:p>
    <w:p w14:paraId="65125817" w14:textId="11FB62D3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3DF0E09" wp14:editId="00E2A5B3">
            <wp:extent cx="5274310" cy="6261735"/>
            <wp:effectExtent l="0" t="0" r="2540" b="5715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4F96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可以選擇圖表最近的時段區間，包含警示的邏輯</w:t>
      </w:r>
    </w:p>
    <w:p w14:paraId="6B5BF02D" w14:textId="1E133B90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F2A2D88" wp14:editId="7A515ABF">
            <wp:extent cx="5274310" cy="4949190"/>
            <wp:effectExtent l="0" t="0" r="2540" b="381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E183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已確定規則條件完成</w:t>
      </w:r>
    </w:p>
    <w:p w14:paraId="18ED3F7A" w14:textId="48AF36B4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021B870" wp14:editId="6A86992D">
            <wp:extent cx="5274310" cy="4316730"/>
            <wp:effectExtent l="0" t="0" r="2540" b="762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D979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條件規則為啟用中</w:t>
      </w:r>
    </w:p>
    <w:p w14:paraId="48ABF2F7" w14:textId="333CE0D4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8AD683E" wp14:editId="639055EA">
            <wp:extent cx="5274310" cy="1165860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B8D0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選擇動作群組</w:t>
      </w:r>
    </w:p>
    <w:p w14:paraId="6F82B72F" w14:textId="138A5D2E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F84FE45" wp14:editId="0337ECF6">
            <wp:extent cx="3962400" cy="232410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8C0D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接下來常用的寄送郵件通知，不過這是改成對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ARM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的角色成員發送</w:t>
      </w:r>
    </w:p>
    <w:p w14:paraId="039B7983" w14:textId="5DB64909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C1B7E8D" wp14:editId="24B5637C">
            <wp:extent cx="5274310" cy="2268855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3F33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選擇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Owner</w:t>
      </w:r>
    </w:p>
    <w:p w14:paraId="2532729A" w14:textId="511E47C1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5D2A6C4" wp14:editId="33514DB1">
            <wp:extent cx="5274310" cy="17310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4727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11.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設置郵件通知完成</w:t>
      </w:r>
    </w:p>
    <w:p w14:paraId="4AAD6867" w14:textId="29E056EE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D5461E1" wp14:editId="0104A2A5">
            <wp:extent cx="5274310" cy="209550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0AF6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12.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動作群組此規則已啟用</w:t>
      </w:r>
    </w:p>
    <w:p w14:paraId="66306D83" w14:textId="5DE8DC4A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393BC2D0" wp14:editId="1DFF1582">
            <wp:extent cx="5274310" cy="890905"/>
            <wp:effectExtent l="0" t="0" r="2540" b="444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1507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13.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此為新功能我們進去看看</w:t>
      </w:r>
    </w:p>
    <w:p w14:paraId="17C1909A" w14:textId="563404E8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4AD89BE" wp14:editId="54E7A865">
            <wp:extent cx="4610100" cy="19621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1C83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14.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決定在哪</w:t>
      </w:r>
      <w:proofErr w:type="gramStart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資源群組下選取的資源服務</w:t>
      </w:r>
    </w:p>
    <w:p w14:paraId="45B3D31D" w14:textId="760BB832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08A123E" wp14:editId="4822B1CC">
            <wp:extent cx="5274310" cy="1630045"/>
            <wp:effectExtent l="0" t="0" r="2540" b="825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CD63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15.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選擇觸發後的執行動作</w:t>
      </w:r>
    </w:p>
    <w:p w14:paraId="65F21E3D" w14:textId="023950C9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BEAB4A8" wp14:editId="148D0D06">
            <wp:extent cx="5274310" cy="5632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EABF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16.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完成後回到規則檢視其中嚴重層級被歸類為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4</w:t>
      </w:r>
    </w:p>
    <w:p w14:paraId="64005A08" w14:textId="6D317822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6216C98" wp14:editId="27A12C69">
            <wp:extent cx="5274310" cy="1518920"/>
            <wp:effectExtent l="0" t="0" r="2540" b="508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CB08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17.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所以如果此層級不需要觸發可以在此勾選</w:t>
      </w:r>
    </w:p>
    <w:p w14:paraId="739BE1D9" w14:textId="36ADFC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B4FDBB5" wp14:editId="6083ADC3">
            <wp:extent cx="5274310" cy="2769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2A0F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18.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設置動作規則確認欄位是否正確，如果無誤就確定</w:t>
      </w:r>
    </w:p>
    <w:p w14:paraId="723E4E66" w14:textId="6023E6C2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1AC9C73" wp14:editId="3091B044">
            <wp:extent cx="5274310" cy="227584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8DCC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19.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透過檢視傳統警示</w:t>
      </w:r>
    </w:p>
    <w:p w14:paraId="0916B6EF" w14:textId="2945FD44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5FABE9E" wp14:editId="0929F26D">
            <wp:extent cx="5274310" cy="811530"/>
            <wp:effectExtent l="0" t="0" r="254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B0E9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20.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開啟活動紀錄警示</w:t>
      </w:r>
    </w:p>
    <w:p w14:paraId="62B3BC6D" w14:textId="429BE65A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2F6FA13F" wp14:editId="388788E7">
            <wp:extent cx="5274310" cy="11582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7D03" w14:textId="77777777" w:rsidR="00C35A80" w:rsidRPr="00C35A80" w:rsidRDefault="00C35A80" w:rsidP="00C35A80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 xml:space="preserve">21. </w:t>
      </w:r>
      <w:r w:rsidRPr="00C35A80">
        <w:rPr>
          <w:rFonts w:ascii="inherit" w:eastAsia="新細明體" w:hAnsi="inherit" w:cs="新細明體"/>
          <w:color w:val="333333"/>
          <w:kern w:val="0"/>
          <w:szCs w:val="24"/>
        </w:rPr>
        <w:t>這裡才有剛剛設置的規則</w:t>
      </w:r>
    </w:p>
    <w:p w14:paraId="3ED8A6A5" w14:textId="15DDD96E" w:rsidR="00C35A80" w:rsidRPr="00C35A80" w:rsidRDefault="00C35A80" w:rsidP="00C35A80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C35A80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889AC73" wp14:editId="5D07F8BA">
            <wp:extent cx="5274310" cy="1409065"/>
            <wp:effectExtent l="0" t="0" r="254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AD49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AD6"/>
    <w:multiLevelType w:val="multilevel"/>
    <w:tmpl w:val="565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260E9"/>
    <w:multiLevelType w:val="multilevel"/>
    <w:tmpl w:val="16D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6B71CC"/>
    <w:multiLevelType w:val="multilevel"/>
    <w:tmpl w:val="EAC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A2A0A"/>
    <w:multiLevelType w:val="multilevel"/>
    <w:tmpl w:val="10D8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064259"/>
    <w:multiLevelType w:val="multilevel"/>
    <w:tmpl w:val="1980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153DD"/>
    <w:multiLevelType w:val="multilevel"/>
    <w:tmpl w:val="0A1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A2B1D"/>
    <w:multiLevelType w:val="multilevel"/>
    <w:tmpl w:val="54CE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80"/>
    <w:rsid w:val="000F4778"/>
    <w:rsid w:val="00C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C1D"/>
  <w15:chartTrackingRefBased/>
  <w15:docId w15:val="{A792944E-D110-45F8-95E2-5140F9CF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35A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5A8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5A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35A8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5A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35A8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35A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35A8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35A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35A80"/>
    <w:rPr>
      <w:color w:val="0000FF"/>
      <w:u w:val="single"/>
    </w:rPr>
  </w:style>
  <w:style w:type="character" w:styleId="a4">
    <w:name w:val="Strong"/>
    <w:basedOn w:val="a0"/>
    <w:uiPriority w:val="22"/>
    <w:qFormat/>
    <w:rsid w:val="00C35A80"/>
    <w:rPr>
      <w:b/>
      <w:bCs/>
    </w:rPr>
  </w:style>
  <w:style w:type="character" w:customStyle="1" w:styleId="price-data">
    <w:name w:val="price-data"/>
    <w:basedOn w:val="a0"/>
    <w:rsid w:val="00C3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80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ithelp.ithome.com.tw/articles/1021408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1</cp:revision>
  <dcterms:created xsi:type="dcterms:W3CDTF">2022-05-16T03:43:00Z</dcterms:created>
  <dcterms:modified xsi:type="dcterms:W3CDTF">2022-05-16T03:45:00Z</dcterms:modified>
</cp:coreProperties>
</file>