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C9F0" w14:textId="77777777" w:rsidR="00750086" w:rsidRPr="00750086" w:rsidRDefault="00750086" w:rsidP="00750086">
      <w:pPr>
        <w:widowControl/>
        <w:spacing w:before="390" w:after="390"/>
        <w:textAlignment w:val="baseline"/>
        <w:outlineLvl w:val="0"/>
        <w:rPr>
          <w:rFonts w:ascii="Arial" w:eastAsia="新細明體" w:hAnsi="Arial" w:cs="Arial"/>
          <w:kern w:val="36"/>
          <w:sz w:val="50"/>
          <w:szCs w:val="50"/>
        </w:rPr>
      </w:pPr>
      <w:proofErr w:type="gramStart"/>
      <w:r w:rsidRPr="00750086">
        <w:rPr>
          <w:rFonts w:ascii="Arial" w:eastAsia="新細明體" w:hAnsi="Arial" w:cs="Arial"/>
          <w:kern w:val="36"/>
          <w:sz w:val="50"/>
          <w:szCs w:val="50"/>
        </w:rPr>
        <w:t>技能解封中間</w:t>
      </w:r>
      <w:proofErr w:type="gramEnd"/>
      <w:r w:rsidRPr="00750086">
        <w:rPr>
          <w:rFonts w:ascii="Arial" w:eastAsia="新細明體" w:hAnsi="Arial" w:cs="Arial"/>
          <w:kern w:val="36"/>
          <w:sz w:val="50"/>
          <w:szCs w:val="50"/>
        </w:rPr>
        <w:t>章程</w:t>
      </w:r>
      <w:r w:rsidRPr="00750086">
        <w:rPr>
          <w:rFonts w:ascii="Arial" w:eastAsia="新細明體" w:hAnsi="Arial" w:cs="Arial"/>
          <w:kern w:val="36"/>
          <w:sz w:val="50"/>
          <w:szCs w:val="50"/>
        </w:rPr>
        <w:t>-</w:t>
      </w:r>
      <w:r w:rsidRPr="00750086">
        <w:rPr>
          <w:rFonts w:ascii="Arial" w:eastAsia="新細明體" w:hAnsi="Arial" w:cs="Arial"/>
          <w:kern w:val="36"/>
          <w:sz w:val="50"/>
          <w:szCs w:val="50"/>
        </w:rPr>
        <w:t>庇護所</w:t>
      </w:r>
      <w:proofErr w:type="gramStart"/>
      <w:r w:rsidRPr="00750086">
        <w:rPr>
          <w:rFonts w:ascii="Arial" w:eastAsia="新細明體" w:hAnsi="Arial" w:cs="Arial"/>
          <w:kern w:val="36"/>
          <w:sz w:val="50"/>
          <w:szCs w:val="50"/>
        </w:rPr>
        <w:t>疫</w:t>
      </w:r>
      <w:proofErr w:type="gramEnd"/>
      <w:r w:rsidRPr="00750086">
        <w:rPr>
          <w:rFonts w:ascii="Arial" w:eastAsia="新細明體" w:hAnsi="Arial" w:cs="Arial"/>
          <w:kern w:val="36"/>
          <w:sz w:val="50"/>
          <w:szCs w:val="50"/>
        </w:rPr>
        <w:t>軍之亂</w:t>
      </w:r>
      <w:r w:rsidRPr="00750086">
        <w:rPr>
          <w:rFonts w:ascii="Arial" w:eastAsia="新細明體" w:hAnsi="Arial" w:cs="Arial"/>
          <w:kern w:val="36"/>
          <w:sz w:val="50"/>
          <w:szCs w:val="50"/>
        </w:rPr>
        <w:t>(Azure Anti-malware)</w:t>
      </w:r>
    </w:p>
    <w:p w14:paraId="07F4C805" w14:textId="77777777" w:rsidR="00750086" w:rsidRPr="00750086" w:rsidRDefault="00750086" w:rsidP="00750086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750086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前言</w:t>
      </w:r>
    </w:p>
    <w:p w14:paraId="54AA1466" w14:textId="77777777" w:rsidR="00750086" w:rsidRPr="00750086" w:rsidRDefault="00750086" w:rsidP="00750086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hyperlink r:id="rId5" w:history="1">
        <w:r w:rsidRPr="00750086">
          <w:rPr>
            <w:rFonts w:ascii="inherit" w:eastAsia="新細明體" w:hAnsi="inherit" w:cs="新細明體"/>
            <w:color w:val="44C2B2"/>
            <w:kern w:val="0"/>
            <w:szCs w:val="24"/>
            <w:bdr w:val="none" w:sz="0" w:space="0" w:color="auto" w:frame="1"/>
          </w:rPr>
          <w:t>https://ithelp.ithome.com.tw/articles/10214088</w:t>
        </w:r>
      </w:hyperlink>
    </w:p>
    <w:p w14:paraId="1BDD69D2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18314BD3" w14:textId="77777777" w:rsidR="00750086" w:rsidRPr="00750086" w:rsidRDefault="00750086" w:rsidP="00750086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750086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成本評估</w:t>
      </w:r>
    </w:p>
    <w:p w14:paraId="36368969" w14:textId="77777777" w:rsidR="00750086" w:rsidRPr="00750086" w:rsidRDefault="00750086" w:rsidP="00750086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 xml:space="preserve">Azure Anti-malware </w:t>
      </w:r>
      <w:r w:rsidRPr="00750086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>依下列定價面向計費：</w:t>
      </w:r>
    </w:p>
    <w:p w14:paraId="65425DFB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Azure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資訊安全中心透過其免費層與標準層保護所有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和特定內部部署資源。</w:t>
      </w:r>
    </w:p>
    <w:p w14:paraId="3E1C420C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在您升級至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資訊安全中心的標準層時，我們將自動註冊並開始保護您的所有資源，除非您明確決定退出。針對資訊安全中心保護的所有資源，我們將依照以下定價模式向您收費。</w:t>
      </w:r>
    </w:p>
    <w:p w14:paraId="5D1E945C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目前可透過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入口網站在訂用帳戶層級啟用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資訊安全中心。</w:t>
      </w:r>
    </w:p>
    <w:p w14:paraId="792E6AA1" w14:textId="77777777" w:rsidR="00750086" w:rsidRPr="00750086" w:rsidRDefault="00750086" w:rsidP="00750086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標準層的前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30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天免費。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30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天以後的使用量都依以下定價方案自動收費。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1"/>
        <w:gridCol w:w="1102"/>
        <w:gridCol w:w="3387"/>
      </w:tblGrid>
      <w:tr w:rsidR="00750086" w:rsidRPr="00750086" w14:paraId="252ED70B" w14:textId="77777777" w:rsidTr="0075008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4BDA132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資源類型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9DDB4A2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免費層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96790E7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標準層次</w:t>
            </w:r>
          </w:p>
        </w:tc>
      </w:tr>
      <w:tr w:rsidR="00750086" w:rsidRPr="00750086" w14:paraId="1F50115C" w14:textId="77777777" w:rsidTr="00750086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0FC94C5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虛擬機器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4E3FFE4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免費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9DC9BC0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~NT$438.792/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伺服器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/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月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br/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內含資料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proofErr w:type="gramStart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500 MB/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天</w:t>
            </w:r>
          </w:p>
        </w:tc>
      </w:tr>
      <w:tr w:rsidR="00750086" w:rsidRPr="00750086" w14:paraId="26C78465" w14:textId="77777777" w:rsidTr="00750086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DB6AC98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應用程式服務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4082992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免費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82FA487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~NT$438.792/App Service/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月</w:t>
            </w:r>
          </w:p>
        </w:tc>
      </w:tr>
      <w:tr w:rsidR="00750086" w:rsidRPr="00750086" w14:paraId="3F8E6881" w14:textId="77777777" w:rsidTr="00750086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F2ED6C1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SQL 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2F18F91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無法使用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81D8545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~NT$438.792/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伺服器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/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月</w:t>
            </w:r>
          </w:p>
        </w:tc>
      </w:tr>
      <w:tr w:rsidR="00750086" w:rsidRPr="00750086" w14:paraId="03F38305" w14:textId="77777777" w:rsidTr="00750086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54BFECB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MySQL (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預覽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F7A9B18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無法使用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D9CD064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免費</w:t>
            </w:r>
          </w:p>
        </w:tc>
      </w:tr>
      <w:tr w:rsidR="00750086" w:rsidRPr="00750086" w14:paraId="22E9E9DE" w14:textId="77777777" w:rsidTr="00750086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FF5FF81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PostgreSQL (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預覽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B57C38B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無法使用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0F57081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免費</w:t>
            </w:r>
          </w:p>
        </w:tc>
      </w:tr>
      <w:tr w:rsidR="00750086" w:rsidRPr="00750086" w14:paraId="25FAFCA3" w14:textId="77777777" w:rsidTr="00750086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2BDBDCC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儲存體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proofErr w:type="gramStart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保護訂用帳戶內的所有儲存體帳戶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426EDE9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無法使用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481E355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NT$0.602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</w:tr>
      <w:tr w:rsidR="00750086" w:rsidRPr="00750086" w14:paraId="108FB9CA" w14:textId="77777777" w:rsidTr="00750086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8BABB01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儲存體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proofErr w:type="gramStart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保護訂用帳戶內的選擇性儲存體帳戶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EA4DB46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無法使用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57CD1F7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NT$1.203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</w:tr>
      <w:tr w:rsidR="00750086" w:rsidRPr="00750086" w14:paraId="7EBFDB2E" w14:textId="77777777" w:rsidTr="00750086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4D731AD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lastRenderedPageBreak/>
              <w:t xml:space="preserve">IoT 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裝置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proofErr w:type="gramStart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依裝置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E99BBFF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無法使用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ACE131B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NT$0.0301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/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月</w:t>
            </w:r>
          </w:p>
        </w:tc>
      </w:tr>
      <w:tr w:rsidR="00750086" w:rsidRPr="00750086" w14:paraId="35771BE7" w14:textId="77777777" w:rsidTr="00750086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14874F7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IoT 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裝置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proofErr w:type="gramStart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依訊息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3BBE7F1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無法使用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ABDFBF2" w14:textId="77777777" w:rsidR="00750086" w:rsidRPr="00750086" w:rsidRDefault="00750086" w:rsidP="00750086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750086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NT$6.011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 xml:space="preserve">/25,000 </w:t>
            </w:r>
            <w:r w:rsidRPr="00750086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</w:tr>
    </w:tbl>
    <w:p w14:paraId="35762E1B" w14:textId="1424A913" w:rsidR="00750086" w:rsidRPr="00750086" w:rsidRDefault="00750086" w:rsidP="00750086">
      <w:pPr>
        <w:widowControl/>
        <w:shd w:val="clear" w:color="auto" w:fill="FFFFFF"/>
        <w:spacing w:before="390" w:after="390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750086">
        <w:rPr>
          <w:rFonts w:ascii="Arial" w:eastAsia="新細明體" w:hAnsi="Arial" w:cs="Arial"/>
          <w:noProof/>
          <w:color w:val="333333"/>
          <w:kern w:val="0"/>
          <w:sz w:val="38"/>
          <w:szCs w:val="38"/>
        </w:rPr>
        <w:drawing>
          <wp:inline distT="0" distB="0" distL="0" distR="0" wp14:anchorId="46C637DF" wp14:editId="542E6D51">
            <wp:extent cx="5274310" cy="2512695"/>
            <wp:effectExtent l="0" t="0" r="2540" b="1905"/>
            <wp:docPr id="16" name="圖片 1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9CB3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7E2F3F2A" w14:textId="77777777" w:rsidR="00750086" w:rsidRPr="00750086" w:rsidRDefault="00750086" w:rsidP="00750086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750086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服務架構</w:t>
      </w:r>
    </w:p>
    <w:p w14:paraId="75971AAD" w14:textId="77777777" w:rsidR="00750086" w:rsidRPr="00750086" w:rsidRDefault="00750086" w:rsidP="00750086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透過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 Portal or PowerShell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將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Antimalware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延伸</w:t>
      </w:r>
      <w:proofErr w:type="gram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安裝檔推送</w:t>
      </w:r>
      <w:proofErr w:type="gram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至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中一個固定預設位置。</w:t>
      </w:r>
    </w:p>
    <w:p w14:paraId="40E758C2" w14:textId="77777777" w:rsidR="00750086" w:rsidRPr="00750086" w:rsidRDefault="00750086" w:rsidP="00750086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Azure VM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的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Agent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會啟動反惡意程式，將其組態設定套用。讓你如果沒有做任何自訂時就以預設</w:t>
      </w:r>
      <w:proofErr w:type="gram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組態來啟動</w:t>
      </w:r>
      <w:proofErr w:type="gram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其反惡意程式碼服務。</w:t>
      </w:r>
    </w:p>
    <w:p w14:paraId="0644D256" w14:textId="77777777" w:rsidR="00750086" w:rsidRPr="00750086" w:rsidRDefault="00750086" w:rsidP="00750086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執行過程中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Antimalware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會透過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Internet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下載最新保護定義載入到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。</w:t>
      </w:r>
    </w:p>
    <w:p w14:paraId="1945E823" w14:textId="77777777" w:rsidR="00750086" w:rsidRPr="00750086" w:rsidRDefault="00750086" w:rsidP="00750086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Antimalware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會將紀錄事件寫至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OS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事件記錄中。內容涵蓋反惡意程式碼用戶健康狀態、保護狀態、組態設定更新等定義的資訊。</w:t>
      </w:r>
    </w:p>
    <w:p w14:paraId="29E757B7" w14:textId="77777777" w:rsidR="00750086" w:rsidRPr="00750086" w:rsidRDefault="00750086" w:rsidP="00750086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透過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Powershell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開啟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VM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反惡意程式碼監視，以便在此事件記錄中產生到你的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 Storage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一併寫入。</w:t>
      </w:r>
    </w:p>
    <w:p w14:paraId="2B1CC885" w14:textId="3526AD62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3D5A30B7" wp14:editId="0991B057">
            <wp:extent cx="5274310" cy="4413250"/>
            <wp:effectExtent l="0" t="0" r="254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6345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22FE1673" w14:textId="77777777" w:rsidR="00750086" w:rsidRPr="00750086" w:rsidRDefault="00750086" w:rsidP="00750086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750086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簡易實測環境</w:t>
      </w:r>
    </w:p>
    <w:p w14:paraId="08AFFF17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1.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在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VM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中刀鋒視窗中有個延伸模組，可以從這裡做安裝</w:t>
      </w:r>
    </w:p>
    <w:p w14:paraId="62D9C981" w14:textId="130BBE3A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480BB9FE" wp14:editId="5B16C18A">
            <wp:extent cx="3810000" cy="1781175"/>
            <wp:effectExtent l="0" t="0" r="0" b="952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43E3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2.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這裡有目前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Azure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都有支援微軟自家或是第三方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有授權問題請自行斟酌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1C7D3621" w14:textId="6CC7820F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04EB1321" wp14:editId="2FF5338D">
            <wp:extent cx="5274310" cy="5865495"/>
            <wp:effectExtent l="0" t="0" r="2540" b="190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197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3.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其中有預設是否有排除不做安全掃描的項目可以依照需求設置，另外也排程掃描</w:t>
      </w:r>
    </w:p>
    <w:p w14:paraId="2CB689EA" w14:textId="57A07A90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494981E6" wp14:editId="71AB6722">
            <wp:extent cx="4695825" cy="7334250"/>
            <wp:effectExtent l="0" t="0" r="9525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A85A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4.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此示範透過資訊安全中心提示建議未安裝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Endpoint</w:t>
      </w:r>
    </w:p>
    <w:p w14:paraId="2CA87670" w14:textId="6658093E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24093524" wp14:editId="6E87AF2B">
            <wp:extent cx="5274310" cy="487934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7656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5.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對此機器勾選安裝</w:t>
      </w:r>
    </w:p>
    <w:p w14:paraId="52CC9E4D" w14:textId="7C12313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10485EBA" wp14:editId="23B89AAA">
            <wp:extent cx="2800350" cy="1333500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E0BE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6.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我們看到預設就是微軟的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Antimalware (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此沒的選，就是唯一支持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0A779AAA" w14:textId="5D74A0FB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4366C556" wp14:editId="6D4A7B99">
            <wp:extent cx="5274310" cy="285940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23BB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7.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其中有預設是否有排除不做安全掃描的項目可以依照需求設置，另外也排程掃描</w:t>
      </w:r>
    </w:p>
    <w:p w14:paraId="0DE88AB6" w14:textId="3202BEEF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58AD3DD2" wp14:editId="7A5535ED">
            <wp:extent cx="2238375" cy="4743450"/>
            <wp:effectExtent l="0" t="0" r="9525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306D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lastRenderedPageBreak/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8.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安裝完成的狀態已顯示以解決</w:t>
      </w:r>
    </w:p>
    <w:p w14:paraId="7A3483EF" w14:textId="46B679CC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0929895E" wp14:editId="1C5A13CE">
            <wp:extent cx="3676650" cy="1419225"/>
            <wp:effectExtent l="0" t="0" r="0" b="952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6CD2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9.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你從回到剛剛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VM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的延伸模組就看到此已經安裝上去</w:t>
      </w:r>
    </w:p>
    <w:p w14:paraId="30799E04" w14:textId="618335FE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19879A17" wp14:editId="2C37534B">
            <wp:extent cx="5274310" cy="1099185"/>
            <wp:effectExtent l="0" t="0" r="2540" b="571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BE3E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10.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補充一下監視上需要還需要搭配系統診斷，請啟用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Guest 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Diag</w:t>
      </w:r>
      <w:proofErr w:type="spellEnd"/>
    </w:p>
    <w:p w14:paraId="2522329B" w14:textId="6356F8CD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022F2E04" wp14:editId="43C7CED7">
            <wp:extent cx="5274310" cy="3842385"/>
            <wp:effectExtent l="0" t="0" r="2540" b="571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353C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lastRenderedPageBreak/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11.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透過在資訊安全中心對於資料收集上工作區選擇以及自動佈署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Agent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已收集未來的長期發展</w:t>
      </w:r>
    </w:p>
    <w:p w14:paraId="0592F8DF" w14:textId="788EB109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6704F1C5" wp14:editId="0874813D">
            <wp:extent cx="5274310" cy="4114165"/>
            <wp:effectExtent l="0" t="0" r="2540" b="63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2DB8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12.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設置診斷的通知</w:t>
      </w:r>
    </w:p>
    <w:p w14:paraId="3B80DA37" w14:textId="4F876872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43BBF3C0" wp14:editId="78BEEC97">
            <wp:extent cx="5274310" cy="2600960"/>
            <wp:effectExtent l="0" t="0" r="2540" b="889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38E2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0FD32C31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lastRenderedPageBreak/>
        <w:t> </w:t>
      </w:r>
    </w:p>
    <w:p w14:paraId="33531178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13.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對於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VM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上從效能到事件都做收集來為後續事件來做請命</w:t>
      </w:r>
    </w:p>
    <w:p w14:paraId="14D1EEE1" w14:textId="3C375CC6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1C82EDC9" wp14:editId="0FF81B2E">
            <wp:extent cx="5274310" cy="3343275"/>
            <wp:effectExtent l="0" t="0" r="254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EFC0" w14:textId="77777777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14.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針對診斷事件紀錄每</w:t>
      </w:r>
      <w:proofErr w:type="gram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細項調整是否需要</w:t>
      </w:r>
    </w:p>
    <w:p w14:paraId="488B7390" w14:textId="12A3E8C4" w:rsidR="00750086" w:rsidRPr="00750086" w:rsidRDefault="00750086" w:rsidP="00750086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5E8F41C" wp14:editId="2008F4CC">
            <wp:extent cx="5274310" cy="4818380"/>
            <wp:effectExtent l="0" t="0" r="2540" b="127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3AD9" w14:textId="77777777" w:rsidR="00750086" w:rsidRPr="00750086" w:rsidRDefault="00750086" w:rsidP="00750086">
      <w:pPr>
        <w:widowControl/>
        <w:shd w:val="clear" w:color="auto" w:fill="FFFFFF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750086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>如何透過</w:t>
      </w:r>
      <w:r w:rsidRPr="00750086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 xml:space="preserve"> Antimalware </w:t>
      </w:r>
      <w:r w:rsidRPr="00750086">
        <w:rPr>
          <w:rFonts w:ascii="inherit" w:eastAsia="新細明體" w:hAnsi="inherit" w:cs="Arial"/>
          <w:b/>
          <w:bCs/>
          <w:color w:val="333333"/>
          <w:kern w:val="0"/>
          <w:sz w:val="18"/>
          <w:szCs w:val="18"/>
          <w:bdr w:val="none" w:sz="0" w:space="0" w:color="auto" w:frame="1"/>
        </w:rPr>
        <w:t>延伸模組開啟監視</w:t>
      </w:r>
    </w:p>
    <w:p w14:paraId="4A276103" w14:textId="77777777" w:rsidR="00750086" w:rsidRPr="00750086" w:rsidRDefault="00750086" w:rsidP="00750086">
      <w:pPr>
        <w:widowControl/>
        <w:numPr>
          <w:ilvl w:val="0"/>
          <w:numId w:val="2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如需實際監視</w:t>
      </w:r>
      <w:proofErr w:type="gram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主機資安狀態</w:t>
      </w:r>
      <w:proofErr w:type="gram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則要透過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Antimalware PowerShell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來啟用診斷讓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VM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中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Antimalware Event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聚集。</w:t>
      </w:r>
    </w:p>
    <w:p w14:paraId="63C1832F" w14:textId="77777777" w:rsidR="00750086" w:rsidRPr="00750086" w:rsidRDefault="00750086" w:rsidP="00750086">
      <w:pPr>
        <w:widowControl/>
        <w:numPr>
          <w:ilvl w:val="0"/>
          <w:numId w:val="2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透過設定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診斷延伸模組，從事件記錄</w:t>
      </w:r>
      <w:proofErr w:type="gram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檔</w:t>
      </w:r>
      <w:proofErr w:type="gram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來源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Microsoft Antimalware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擷取事件至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Azure Storage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。其中包含錯誤，警告或詳細資訊等反惡意事件類型。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br/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以下是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PowerShell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針對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VM 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的範例：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br/>
        <w:t>PS C:&gt; Add-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AzureAccount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br/>
        <w:t>PS C:&gt; Select-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AzureSubscription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SubscriptionName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“"</w:t>
      </w:r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br/>
        <w:t>PS C:&gt; $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StorageContext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= New-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AzureStorageContext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StorageAccountName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“" 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StorageAccountKey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(Get-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AzureStorageKey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StorageAccountName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“"</w:t>
      </w:r>
      <w:proofErr w:type="gram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).Primary</w:t>
      </w:r>
      <w:proofErr w:type="gram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br/>
        <w:t>PS C:&gt; Set-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AzureServiceAntimalwareExtension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ServiceName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“" -Monitoring ON -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StorageContext</w:t>
      </w:r>
      <w:proofErr w:type="spellEnd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 xml:space="preserve"> $</w:t>
      </w:r>
      <w:proofErr w:type="spellStart"/>
      <w:r w:rsidRPr="00750086">
        <w:rPr>
          <w:rFonts w:ascii="inherit" w:eastAsia="新細明體" w:hAnsi="inherit" w:cs="新細明體"/>
          <w:color w:val="333333"/>
          <w:kern w:val="0"/>
          <w:szCs w:val="24"/>
        </w:rPr>
        <w:t>StorageContext</w:t>
      </w:r>
      <w:proofErr w:type="spellEnd"/>
    </w:p>
    <w:p w14:paraId="28C307F4" w14:textId="77777777" w:rsidR="000F4778" w:rsidRPr="00750086" w:rsidRDefault="000F4778"/>
    <w:sectPr w:rsidR="000F4778" w:rsidRPr="007500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8E3"/>
    <w:multiLevelType w:val="multilevel"/>
    <w:tmpl w:val="2A8E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6F0567"/>
    <w:multiLevelType w:val="multilevel"/>
    <w:tmpl w:val="EE42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86"/>
    <w:rsid w:val="000F4778"/>
    <w:rsid w:val="0075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E72E"/>
  <w15:chartTrackingRefBased/>
  <w15:docId w15:val="{2EA5AB6A-A1DC-4C5F-9CE6-A73FB269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5008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008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750086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008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50086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50086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7500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50086"/>
    <w:rPr>
      <w:color w:val="0000FF"/>
      <w:u w:val="single"/>
    </w:rPr>
  </w:style>
  <w:style w:type="character" w:styleId="a4">
    <w:name w:val="Strong"/>
    <w:basedOn w:val="a0"/>
    <w:uiPriority w:val="22"/>
    <w:qFormat/>
    <w:rsid w:val="00750086"/>
    <w:rPr>
      <w:b/>
      <w:bCs/>
    </w:rPr>
  </w:style>
  <w:style w:type="character" w:customStyle="1" w:styleId="price-data">
    <w:name w:val="price-data"/>
    <w:basedOn w:val="a0"/>
    <w:rsid w:val="0075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675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thelp.ithome.com.tw/articles/10214088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1</cp:revision>
  <dcterms:created xsi:type="dcterms:W3CDTF">2022-05-16T03:37:00Z</dcterms:created>
  <dcterms:modified xsi:type="dcterms:W3CDTF">2022-05-16T03:38:00Z</dcterms:modified>
</cp:coreProperties>
</file>