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87425" w14:textId="77777777" w:rsidR="004D05A0" w:rsidRPr="004D05A0" w:rsidRDefault="004D05A0" w:rsidP="004D05A0">
      <w:pPr>
        <w:widowControl/>
        <w:spacing w:before="390" w:after="390"/>
        <w:textAlignment w:val="baseline"/>
        <w:outlineLvl w:val="0"/>
        <w:rPr>
          <w:rFonts w:ascii="Arial" w:eastAsia="新細明體" w:hAnsi="Arial" w:cs="Arial"/>
          <w:kern w:val="36"/>
          <w:sz w:val="50"/>
          <w:szCs w:val="50"/>
        </w:rPr>
      </w:pPr>
      <w:proofErr w:type="gramStart"/>
      <w:r w:rsidRPr="004D05A0">
        <w:rPr>
          <w:rFonts w:ascii="Arial" w:eastAsia="新細明體" w:hAnsi="Arial" w:cs="Arial"/>
          <w:kern w:val="36"/>
          <w:sz w:val="50"/>
          <w:szCs w:val="50"/>
        </w:rPr>
        <w:t>技能解封中間</w:t>
      </w:r>
      <w:proofErr w:type="gramEnd"/>
      <w:r w:rsidRPr="004D05A0">
        <w:rPr>
          <w:rFonts w:ascii="Arial" w:eastAsia="新細明體" w:hAnsi="Arial" w:cs="Arial"/>
          <w:kern w:val="36"/>
          <w:sz w:val="50"/>
          <w:szCs w:val="50"/>
        </w:rPr>
        <w:t>章程</w:t>
      </w:r>
      <w:r w:rsidRPr="004D05A0">
        <w:rPr>
          <w:rFonts w:ascii="Arial" w:eastAsia="新細明體" w:hAnsi="Arial" w:cs="Arial"/>
          <w:kern w:val="36"/>
          <w:sz w:val="50"/>
          <w:szCs w:val="50"/>
        </w:rPr>
        <w:t>-</w:t>
      </w:r>
      <w:proofErr w:type="gramStart"/>
      <w:r w:rsidRPr="004D05A0">
        <w:rPr>
          <w:rFonts w:ascii="Arial" w:eastAsia="新細明體" w:hAnsi="Arial" w:cs="Arial"/>
          <w:kern w:val="36"/>
          <w:sz w:val="50"/>
          <w:szCs w:val="50"/>
        </w:rPr>
        <w:t>城池間的隱形</w:t>
      </w:r>
      <w:proofErr w:type="gramEnd"/>
      <w:r w:rsidRPr="004D05A0">
        <w:rPr>
          <w:rFonts w:ascii="Arial" w:eastAsia="新細明體" w:hAnsi="Arial" w:cs="Arial"/>
          <w:kern w:val="36"/>
          <w:sz w:val="50"/>
          <w:szCs w:val="50"/>
        </w:rPr>
        <w:t>之眼</w:t>
      </w:r>
      <w:r w:rsidRPr="004D05A0">
        <w:rPr>
          <w:rFonts w:ascii="Arial" w:eastAsia="新細明體" w:hAnsi="Arial" w:cs="Arial"/>
          <w:kern w:val="36"/>
          <w:sz w:val="50"/>
          <w:szCs w:val="50"/>
        </w:rPr>
        <w:t>(Azure Metrics)</w:t>
      </w:r>
    </w:p>
    <w:p w14:paraId="14AC7248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4D05A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前言</w:t>
      </w:r>
    </w:p>
    <w:p w14:paraId="36A8FF89" w14:textId="77777777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5" w:history="1">
        <w:r w:rsidRPr="004D05A0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https://ithelp.ithome.com.tw/articles/10214083</w:t>
        </w:r>
      </w:hyperlink>
    </w:p>
    <w:p w14:paraId="0C5FFA46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5910F831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4D05A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成本評估</w:t>
      </w:r>
    </w:p>
    <w:p w14:paraId="7B0E4272" w14:textId="77777777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Azure Metrics </w:t>
      </w:r>
      <w:r w:rsidRPr="004D05A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依下列定價面向計費：</w:t>
      </w:r>
    </w:p>
    <w:p w14:paraId="6D17F6AA" w14:textId="77777777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計量代表一組時間序列。會依監視的時間序列數以及進行的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呼叫數計費。目前，計量查詢和自訂查詢不會產生任何費用。計量查詢與自訂計量的收費標準將自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2019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年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12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月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日起生效。</w:t>
      </w: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4063"/>
        <w:gridCol w:w="4547"/>
      </w:tblGrid>
      <w:tr w:rsidR="004D05A0" w:rsidRPr="004D05A0" w14:paraId="47A8851C" w14:textId="77777777" w:rsidTr="004D05A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B5EBD49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C907828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包含免費單位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1D5E59D2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價格</w:t>
            </w:r>
          </w:p>
        </w:tc>
      </w:tr>
      <w:tr w:rsidR="004D05A0" w:rsidRPr="004D05A0" w14:paraId="47A5161D" w14:textId="77777777" w:rsidTr="004D05A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7076960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標準計量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262586C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無限制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1E70B30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免費</w:t>
            </w:r>
          </w:p>
        </w:tc>
      </w:tr>
      <w:tr w:rsidR="004D05A0" w:rsidRPr="004D05A0" w14:paraId="6D68543B" w14:textId="77777777" w:rsidTr="004D05A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34E431C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自訂計量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C714438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每月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 xml:space="preserve"> 150 MB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052D0E9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NT$7.754/MB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：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150-100,000 MB</w:t>
            </w:r>
          </w:p>
          <w:p w14:paraId="3425802B" w14:textId="77777777" w:rsidR="004D05A0" w:rsidRPr="004D05A0" w:rsidRDefault="004D05A0" w:rsidP="004D05A0">
            <w:pPr>
              <w:widowControl/>
              <w:textAlignment w:val="baseline"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NT$4.539/MB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：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100,000-250,000 MB</w:t>
            </w:r>
          </w:p>
          <w:p w14:paraId="1DB2BF79" w14:textId="77777777" w:rsidR="004D05A0" w:rsidRPr="004D05A0" w:rsidRDefault="004D05A0" w:rsidP="004D05A0">
            <w:pPr>
              <w:widowControl/>
              <w:textAlignment w:val="baseline"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NT$1.834/MB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：高於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 xml:space="preserve"> 250,000 MB</w:t>
            </w:r>
          </w:p>
        </w:tc>
      </w:tr>
      <w:tr w:rsidR="004D05A0" w:rsidRPr="004D05A0" w14:paraId="17DD921C" w14:textId="77777777" w:rsidTr="004D05A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6743C04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計量查詢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42F448A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每月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 xml:space="preserve"> 1,000,000 </w:t>
            </w:r>
            <w:proofErr w:type="gramStart"/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個</w:t>
            </w:r>
            <w:proofErr w:type="gramEnd"/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標準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 xml:space="preserve"> API 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呼叫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46528DD" w14:textId="77777777" w:rsidR="004D05A0" w:rsidRPr="004D05A0" w:rsidRDefault="004D05A0" w:rsidP="004D05A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NT$0.301/1,000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個標準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 xml:space="preserve"> API </w:t>
            </w:r>
            <w:r w:rsidRPr="004D05A0">
              <w:rPr>
                <w:rFonts w:ascii="inherit" w:eastAsia="新細明體" w:hAnsi="inherit" w:cs="新細明體"/>
                <w:b/>
                <w:bCs/>
                <w:kern w:val="0"/>
                <w:szCs w:val="24"/>
                <w:bdr w:val="none" w:sz="0" w:space="0" w:color="auto" w:frame="1"/>
              </w:rPr>
              <w:t>呼叫</w:t>
            </w:r>
          </w:p>
        </w:tc>
      </w:tr>
    </w:tbl>
    <w:p w14:paraId="2A3AFE43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標準計量類型如下：</w:t>
      </w:r>
    </w:p>
    <w:p w14:paraId="34390BC2" w14:textId="77777777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6" w:history="1">
        <w:r w:rsidRPr="004D05A0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https://docs.microsoft.com/en-us/azure/azure-monitor/platform/metrics-supported</w:t>
        </w:r>
      </w:hyperlink>
    </w:p>
    <w:p w14:paraId="0B84ECE5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計量查詢費用以標準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呼叫數目為依據。標準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呼叫是會分析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1,440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資料點的呼叫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(1,440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也是每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計量每天可儲存的總資料點數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)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0580B163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如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呼叫分析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1,440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以上的資料點，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即計為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多個標準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呼叫。如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呼叫分析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1,440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以下的資料點，則計為不到一個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呼叫。標準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呼叫的數目會每天計算，計算方式為每日分析的資料點總數除以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1,440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3521CC2D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計量免費供應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90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天。若要在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90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天後保留計量資料，可將計量資料路由至儲存體帳戶、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Azure Log Analytics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工作區或事件中樞。將分別對儲存體、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Log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 xml:space="preserve">Analytics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及事件中樞收取對應的費用。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此外，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計量查詢將會為路由資料所需的對應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呼叫計費</w:t>
      </w:r>
    </w:p>
    <w:p w14:paraId="6CA2B070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範例如下：</w:t>
      </w:r>
    </w:p>
    <w:p w14:paraId="3857AD94" w14:textId="77777777" w:rsidR="004D05A0" w:rsidRPr="004D05A0" w:rsidRDefault="004D05A0" w:rsidP="004D05A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分析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2,000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資料點的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呼叫會計為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2,000/1,440 = 1.4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呼叫。</w:t>
      </w:r>
    </w:p>
    <w:p w14:paraId="16AAC808" w14:textId="77777777" w:rsidR="004D05A0" w:rsidRPr="004D05A0" w:rsidRDefault="004D05A0" w:rsidP="004D05A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分析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200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資料點的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呼叫會計為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200/1,440 = 0.1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呼叫。</w:t>
      </w:r>
    </w:p>
    <w:p w14:paraId="30C89667" w14:textId="77777777" w:rsidR="004D05A0" w:rsidRPr="004D05A0" w:rsidRDefault="004D05A0" w:rsidP="004D05A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以一分鐘資料粒度從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100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部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VM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追蹤五個計量一天的情況下，會產生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720,000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資料點，進而轉譯成每天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(720,000/1,440) 500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標準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API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呼叫。</w:t>
      </w:r>
    </w:p>
    <w:p w14:paraId="1A3EA970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70F6F41E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4D05A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Azure Metrics Q&amp;A</w:t>
      </w:r>
    </w:p>
    <w:p w14:paraId="4D001936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3"/>
        <w:rPr>
          <w:rFonts w:ascii="Arial" w:eastAsia="新細明體" w:hAnsi="Arial" w:cs="Arial"/>
          <w:color w:val="333333"/>
          <w:kern w:val="0"/>
          <w:sz w:val="17"/>
          <w:szCs w:val="17"/>
        </w:rPr>
      </w:pPr>
      <w:r w:rsidRPr="004D05A0">
        <w:rPr>
          <w:rFonts w:ascii="inherit" w:eastAsia="新細明體" w:hAnsi="inherit" w:cs="Arial"/>
          <w:b/>
          <w:bCs/>
          <w:color w:val="333333"/>
          <w:kern w:val="0"/>
          <w:sz w:val="18"/>
          <w:szCs w:val="18"/>
          <w:bdr w:val="none" w:sz="0" w:space="0" w:color="auto" w:frame="1"/>
        </w:rPr>
        <w:t>支援</w:t>
      </w:r>
      <w:r w:rsidRPr="004D05A0">
        <w:rPr>
          <w:rFonts w:ascii="inherit" w:eastAsia="新細明體" w:hAnsi="inherit" w:cs="Arial"/>
          <w:b/>
          <w:bCs/>
          <w:color w:val="333333"/>
          <w:kern w:val="0"/>
          <w:sz w:val="18"/>
          <w:szCs w:val="18"/>
          <w:bdr w:val="none" w:sz="0" w:space="0" w:color="auto" w:frame="1"/>
        </w:rPr>
        <w:t xml:space="preserve"> Azure </w:t>
      </w:r>
      <w:r w:rsidRPr="004D05A0">
        <w:rPr>
          <w:rFonts w:ascii="inherit" w:eastAsia="新細明體" w:hAnsi="inherit" w:cs="Arial"/>
          <w:b/>
          <w:bCs/>
          <w:color w:val="333333"/>
          <w:kern w:val="0"/>
          <w:sz w:val="18"/>
          <w:szCs w:val="18"/>
          <w:bdr w:val="none" w:sz="0" w:space="0" w:color="auto" w:frame="1"/>
        </w:rPr>
        <w:t>監視計量的參考有哪些？</w:t>
      </w:r>
    </w:p>
    <w:p w14:paraId="17D3FF44" w14:textId="77777777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7" w:history="1">
        <w:r w:rsidRPr="004D05A0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https://docs.microsoft.com/zh-tw/azure/azure-monitor/platform/metrics-supported</w:t>
        </w:r>
      </w:hyperlink>
    </w:p>
    <w:p w14:paraId="3AF49497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53F54A3C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4D05A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服務架構</w:t>
      </w:r>
    </w:p>
    <w:p w14:paraId="042DB06C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Azure Monitor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所收集的資料均符合以下兩種類型：</w:t>
      </w:r>
    </w:p>
    <w:p w14:paraId="67D5E3CB" w14:textId="77777777" w:rsidR="004D05A0" w:rsidRPr="004D05A0" w:rsidRDefault="004D05A0" w:rsidP="004D05A0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計量則是描述系統在當前時間區間的某個行為表現。此屬輕量服務能支援近乎即時的實例。</w:t>
      </w:r>
    </w:p>
    <w:p w14:paraId="1390C44E" w14:textId="77777777" w:rsidR="004D05A0" w:rsidRPr="004D05A0" w:rsidRDefault="004D05A0" w:rsidP="004D05A0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記錄則包含各種不同類型資料，並針對每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類型組織成不同的屬性。除效能資料外，還會將事件和追蹤的遙測資料儲存為記錄，並整合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一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起來進行分析。</w:t>
      </w:r>
    </w:p>
    <w:p w14:paraId="33C7AAD8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Azure Monitor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可從各種來源收集資料。包含各層級中的應用程式監視資料，範圍從您的應用程式、它所倚賴的任何作業系統和服務再到平台本身。所收集的資料來源類型如下：</w:t>
      </w:r>
    </w:p>
    <w:p w14:paraId="0DF1F764" w14:textId="77777777" w:rsidR="004D05A0" w:rsidRPr="004D05A0" w:rsidRDefault="004D05A0" w:rsidP="004D05A0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應用程式監視資訊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–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程式碼效能或相關功能資訊。</w:t>
      </w:r>
    </w:p>
    <w:p w14:paraId="16AC5F6B" w14:textId="77777777" w:rsidR="004D05A0" w:rsidRPr="004D05A0" w:rsidRDefault="004D05A0" w:rsidP="004D05A0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Guest OS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監視資訊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–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關於應用程式執行所在作業系統的資料。可以是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以外包含其他雲端或企業內部監視。</w:t>
      </w:r>
    </w:p>
    <w:p w14:paraId="6DD5462A" w14:textId="77777777" w:rsidR="004D05A0" w:rsidRPr="004D05A0" w:rsidRDefault="004D05A0" w:rsidP="004D05A0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資源監視資訊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–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資源操作行為資訊。</w:t>
      </w:r>
    </w:p>
    <w:p w14:paraId="29F19F3D" w14:textId="77777777" w:rsidR="004D05A0" w:rsidRPr="004D05A0" w:rsidRDefault="004D05A0" w:rsidP="004D05A0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 xml:space="preserve">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訂閱帳戶監視資訊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–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關於訂閱帳戶作業管理及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本身健康監視情況的資訊。</w:t>
      </w:r>
    </w:p>
    <w:p w14:paraId="3576A2E1" w14:textId="77777777" w:rsidR="004D05A0" w:rsidRPr="004D05A0" w:rsidRDefault="004D05A0" w:rsidP="004D05A0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租用戶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(tenant)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監視資訊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–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租用戶層級作業相關如：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Azure Active Directory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235362AA" w14:textId="2460A31D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669588E" wp14:editId="72543ACC">
            <wp:extent cx="5274310" cy="2931160"/>
            <wp:effectExtent l="0" t="0" r="254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CDD4" w14:textId="77777777" w:rsidR="004D05A0" w:rsidRPr="004D05A0" w:rsidRDefault="004D05A0" w:rsidP="004D05A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4D05A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簡易實測環境</w:t>
      </w:r>
    </w:p>
    <w:p w14:paraId="0D710F17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其實每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服務下的刀鋒視窗只要有計量服務都可以直接運用，結果都一樣但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前著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是針對明確的目標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標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的，所以從訂閱到資源群組到服務都已經歸納好比較方便，這次示範標準作法</w:t>
      </w:r>
    </w:p>
    <w:p w14:paraId="455CAD5D" w14:textId="6F4684E1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277293C" wp14:editId="3D227DF2">
            <wp:extent cx="5274310" cy="2406015"/>
            <wp:effectExtent l="0" t="0" r="254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919E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2.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貼心的可以從最近的資源來選擇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需要的話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5FA62327" w14:textId="5D78036E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075CC72" wp14:editId="1063BDE0">
            <wp:extent cx="3600450" cy="2314575"/>
            <wp:effectExtent l="0" t="0" r="0" b="9525"/>
            <wp:docPr id="18" name="圖片 1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7753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3.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選擇指定訂閱</w:t>
      </w:r>
    </w:p>
    <w:p w14:paraId="17B14AB3" w14:textId="4814C3EE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2310F9A" wp14:editId="4860E3ED">
            <wp:extent cx="3609975" cy="2638425"/>
            <wp:effectExtent l="0" t="0" r="9525" b="952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7A91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4.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選擇指定想監視計量的資源群組範圍</w:t>
      </w:r>
    </w:p>
    <w:p w14:paraId="0CE9AF5F" w14:textId="5238A471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F3046C9" wp14:editId="3A866E0C">
            <wp:extent cx="3686175" cy="4152900"/>
            <wp:effectExtent l="0" t="0" r="9525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86CE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5.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選擇指定的服務，列出全部也無法，如果服務不多，方便找即可</w:t>
      </w:r>
    </w:p>
    <w:p w14:paraId="2EB58EFD" w14:textId="322310A8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A185D91" wp14:editId="53BDC45D">
            <wp:extent cx="3581400" cy="70580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4705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6.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指定虛擬機器的網卡</w:t>
      </w:r>
    </w:p>
    <w:p w14:paraId="2B204CC1" w14:textId="50C6A7A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3CA7EA2" wp14:editId="45650D93">
            <wp:extent cx="3714750" cy="327660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5BF6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8.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選擇接收的度量</w:t>
      </w:r>
    </w:p>
    <w:p w14:paraId="142DA9A9" w14:textId="47F1C499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A68E976" wp14:editId="467D1740">
            <wp:extent cx="5274310" cy="36817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8233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9.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多維度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也可以是不同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VM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的網卡但同個傳送度量一起比較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)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同一張網卡選擇傳送的度量</w:t>
      </w:r>
    </w:p>
    <w:p w14:paraId="44D9B525" w14:textId="499409A6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5D14130" wp14:editId="0BC61804">
            <wp:extent cx="5274310" cy="354711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2561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10.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自訂好辨識管理的名稱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不然會把你所有的計量一長串往上加不好管理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0031EB62" w14:textId="59E773A3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7BEA8CD" wp14:editId="53E02B3C">
            <wp:extent cx="5274310" cy="2733040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CCDF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11.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為了想要把不同類型的度量分開，透過新增圖表呈現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可透過不同圖形分開表示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5D033851" w14:textId="4248DB55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85E9C90" wp14:editId="34A1E7DD">
            <wp:extent cx="5274310" cy="358648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5133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12.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可以把目前設計好的透過共用功能複製其連結打算給另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管理帳戶來做後續調整設置</w:t>
      </w:r>
    </w:p>
    <w:p w14:paraId="57FBF269" w14:textId="4DF71FB9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0A8FCDB" wp14:editId="513734F3">
            <wp:extent cx="5274310" cy="1594485"/>
            <wp:effectExtent l="0" t="0" r="2540" b="571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7AA9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13.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把連結複製到無痕瀏覽避免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Cookies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問題</w:t>
      </w:r>
    </w:p>
    <w:p w14:paraId="5661A166" w14:textId="09AD4B54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DF92E67" wp14:editId="074C001F">
            <wp:extent cx="5274310" cy="11747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B791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會跳出登入畫面，改用其他管理帳戶來登</w:t>
      </w:r>
    </w:p>
    <w:p w14:paraId="2A843CFF" w14:textId="20E1B98D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5B76253F" wp14:editId="60831C4E">
            <wp:extent cx="4943475" cy="52482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DE47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15.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開啟後呈現畫面就跟剛剛設計的一樣，都一樣可以在做邊修</w:t>
      </w:r>
    </w:p>
    <w:p w14:paraId="577002E3" w14:textId="1748E325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E7FB73A" wp14:editId="3025054B">
            <wp:extent cx="5274310" cy="2593340"/>
            <wp:effectExtent l="0" t="0" r="254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A809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16.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調整完成後就</w:t>
      </w:r>
      <w:proofErr w:type="gramStart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可以釘選至</w:t>
      </w:r>
      <w:proofErr w:type="gramEnd"/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儀表板上</w:t>
      </w:r>
    </w:p>
    <w:p w14:paraId="48DA5ED9" w14:textId="3C3D50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4A52800" wp14:editId="681301EA">
            <wp:extent cx="5274310" cy="2382520"/>
            <wp:effectExtent l="0" t="0" r="254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9527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17.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可以再做細部微調包含呈現磚塊大小</w:t>
      </w:r>
    </w:p>
    <w:p w14:paraId="45E7EFB4" w14:textId="0B838538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EFC7279" wp14:editId="29F0874E">
            <wp:extent cx="5219700" cy="4829175"/>
            <wp:effectExtent l="0" t="0" r="0" b="9525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B404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18.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開啟自訂磚資料</w:t>
      </w:r>
    </w:p>
    <w:p w14:paraId="537DDF4F" w14:textId="2B92B23B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5C06A12" wp14:editId="2AC6E6D8">
            <wp:extent cx="5210175" cy="4619625"/>
            <wp:effectExtent l="0" t="0" r="9525" b="9525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BC3B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19.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可以從這邊來決定更新的範圍時間區間</w:t>
      </w:r>
    </w:p>
    <w:p w14:paraId="7AFDF7CD" w14:textId="155748C4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1B1ED68" wp14:editId="0D231131">
            <wp:extent cx="3648075" cy="3838575"/>
            <wp:effectExtent l="0" t="0" r="9525" b="9525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618A" w14:textId="77777777" w:rsidR="004D05A0" w:rsidRPr="004D05A0" w:rsidRDefault="004D05A0" w:rsidP="004D05A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 xml:space="preserve">20. </w:t>
      </w:r>
      <w:r w:rsidRPr="004D05A0">
        <w:rPr>
          <w:rFonts w:ascii="inherit" w:eastAsia="新細明體" w:hAnsi="inherit" w:cs="新細明體"/>
          <w:color w:val="333333"/>
          <w:kern w:val="0"/>
          <w:szCs w:val="24"/>
        </w:rPr>
        <w:t>設置完成</w:t>
      </w:r>
    </w:p>
    <w:p w14:paraId="4E62E4E4" w14:textId="127D5931" w:rsidR="004D05A0" w:rsidRPr="004D05A0" w:rsidRDefault="004D05A0" w:rsidP="004D05A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4D05A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1EDA9D1" wp14:editId="5ACA0060">
            <wp:extent cx="3657600" cy="1895475"/>
            <wp:effectExtent l="0" t="0" r="0" b="952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C784" w14:textId="77777777" w:rsidR="000F4778" w:rsidRDefault="000F4778"/>
    <w:sectPr w:rsidR="000F47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7A5F"/>
    <w:multiLevelType w:val="multilevel"/>
    <w:tmpl w:val="E108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1F5770D"/>
    <w:multiLevelType w:val="multilevel"/>
    <w:tmpl w:val="0308B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9A1E49"/>
    <w:multiLevelType w:val="multilevel"/>
    <w:tmpl w:val="07EE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649"/>
    <w:rsid w:val="000F4778"/>
    <w:rsid w:val="004D05A0"/>
    <w:rsid w:val="0081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0FE97"/>
  <w15:chartTrackingRefBased/>
  <w15:docId w15:val="{1F69CFB1-D126-4237-AC62-718ECC528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4D05A0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D05A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4D05A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D05A0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4D05A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4D05A0"/>
    <w:rPr>
      <w:rFonts w:ascii="新細明體" w:eastAsia="新細明體" w:hAnsi="新細明體" w:cs="新細明體"/>
      <w:b/>
      <w:bCs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4D05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4D05A0"/>
    <w:rPr>
      <w:color w:val="0000FF"/>
      <w:u w:val="single"/>
    </w:rPr>
  </w:style>
  <w:style w:type="character" w:styleId="a4">
    <w:name w:val="Strong"/>
    <w:basedOn w:val="a0"/>
    <w:uiPriority w:val="22"/>
    <w:qFormat/>
    <w:rsid w:val="004D05A0"/>
    <w:rPr>
      <w:b/>
      <w:bCs/>
    </w:rPr>
  </w:style>
  <w:style w:type="character" w:customStyle="1" w:styleId="price-data">
    <w:name w:val="price-data"/>
    <w:basedOn w:val="a0"/>
    <w:rsid w:val="004D0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6042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zh-tw/azure/azure-monitor/platform/metrics-suppo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monitor/platform/metrics-suppo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ithelp.ithome.com.tw/articles/1021408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2</cp:revision>
  <dcterms:created xsi:type="dcterms:W3CDTF">2022-05-16T03:49:00Z</dcterms:created>
  <dcterms:modified xsi:type="dcterms:W3CDTF">2022-05-16T03:50:00Z</dcterms:modified>
</cp:coreProperties>
</file>