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FB67" w14:textId="77777777" w:rsidR="00015B57" w:rsidRPr="00015B57" w:rsidRDefault="00015B57" w:rsidP="00015B57">
      <w:pPr>
        <w:widowControl/>
        <w:spacing w:before="390" w:after="390"/>
        <w:textAlignment w:val="baseline"/>
        <w:outlineLvl w:val="0"/>
        <w:rPr>
          <w:rFonts w:ascii="Arial" w:eastAsia="新細明體" w:hAnsi="Arial" w:cs="Arial"/>
          <w:kern w:val="36"/>
          <w:sz w:val="50"/>
          <w:szCs w:val="50"/>
        </w:rPr>
      </w:pPr>
      <w:proofErr w:type="gramStart"/>
      <w:r w:rsidRPr="00015B57">
        <w:rPr>
          <w:rFonts w:ascii="Arial" w:eastAsia="新細明體" w:hAnsi="Arial" w:cs="Arial"/>
          <w:kern w:val="36"/>
          <w:sz w:val="50"/>
          <w:szCs w:val="50"/>
        </w:rPr>
        <w:t>技能解封最終</w:t>
      </w:r>
      <w:proofErr w:type="gramEnd"/>
      <w:r w:rsidRPr="00015B57">
        <w:rPr>
          <w:rFonts w:ascii="Arial" w:eastAsia="新細明體" w:hAnsi="Arial" w:cs="Arial"/>
          <w:kern w:val="36"/>
          <w:sz w:val="50"/>
          <w:szCs w:val="50"/>
        </w:rPr>
        <w:t>對決</w:t>
      </w:r>
      <w:r w:rsidRPr="00015B57">
        <w:rPr>
          <w:rFonts w:ascii="Arial" w:eastAsia="新細明體" w:hAnsi="Arial" w:cs="Arial"/>
          <w:kern w:val="36"/>
          <w:sz w:val="50"/>
          <w:szCs w:val="50"/>
        </w:rPr>
        <w:t>-</w:t>
      </w:r>
      <w:r w:rsidRPr="00015B57">
        <w:rPr>
          <w:rFonts w:ascii="Arial" w:eastAsia="新細明體" w:hAnsi="Arial" w:cs="Arial"/>
          <w:kern w:val="36"/>
          <w:sz w:val="50"/>
          <w:szCs w:val="50"/>
        </w:rPr>
        <w:t>卷軸</w:t>
      </w:r>
      <w:proofErr w:type="gramStart"/>
      <w:r w:rsidRPr="00015B57">
        <w:rPr>
          <w:rFonts w:ascii="Arial" w:eastAsia="新細明體" w:hAnsi="Arial" w:cs="Arial"/>
          <w:kern w:val="36"/>
          <w:sz w:val="50"/>
          <w:szCs w:val="50"/>
        </w:rPr>
        <w:t>解封金鑰</w:t>
      </w:r>
      <w:proofErr w:type="gramEnd"/>
      <w:r w:rsidRPr="00015B57">
        <w:rPr>
          <w:rFonts w:ascii="Arial" w:eastAsia="新細明體" w:hAnsi="Arial" w:cs="Arial"/>
          <w:kern w:val="36"/>
          <w:sz w:val="50"/>
          <w:szCs w:val="50"/>
        </w:rPr>
        <w:t>重鎮</w:t>
      </w:r>
      <w:r w:rsidRPr="00015B57">
        <w:rPr>
          <w:rFonts w:ascii="Arial" w:eastAsia="新細明體" w:hAnsi="Arial" w:cs="Arial"/>
          <w:kern w:val="36"/>
          <w:sz w:val="50"/>
          <w:szCs w:val="50"/>
        </w:rPr>
        <w:t>(Azure Key Vault)</w:t>
      </w:r>
    </w:p>
    <w:p w14:paraId="3FC67543" w14:textId="77777777" w:rsidR="00015B57" w:rsidRPr="00015B57" w:rsidRDefault="00015B57" w:rsidP="00015B57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015B57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前言</w:t>
      </w:r>
    </w:p>
    <w:p w14:paraId="3B8D52D2" w14:textId="77777777" w:rsidR="00015B57" w:rsidRPr="00015B57" w:rsidRDefault="00015B57" w:rsidP="00015B57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hyperlink r:id="rId5" w:history="1">
        <w:r w:rsidRPr="00015B57">
          <w:rPr>
            <w:rFonts w:ascii="inherit" w:eastAsia="新細明體" w:hAnsi="inherit" w:cs="新細明體"/>
            <w:color w:val="44C2B2"/>
            <w:kern w:val="0"/>
            <w:szCs w:val="24"/>
            <w:bdr w:val="none" w:sz="0" w:space="0" w:color="auto" w:frame="1"/>
          </w:rPr>
          <w:t>https://ithelp.ithome.com.tw/articles/10214094</w:t>
        </w:r>
      </w:hyperlink>
    </w:p>
    <w:p w14:paraId="37AF2712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557A9CC7" w14:textId="77777777" w:rsidR="00015B57" w:rsidRPr="00015B57" w:rsidRDefault="00015B57" w:rsidP="00015B57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015B57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成本評估</w:t>
      </w:r>
    </w:p>
    <w:p w14:paraId="5BDD63D2" w14:textId="77777777" w:rsidR="00015B57" w:rsidRPr="00015B57" w:rsidRDefault="00015B57" w:rsidP="00015B57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 xml:space="preserve">Azure Key Vault </w:t>
      </w:r>
      <w:r w:rsidRPr="00015B57">
        <w:rPr>
          <w:rFonts w:ascii="inherit" w:eastAsia="新細明體" w:hAnsi="inherit" w:cs="新細明體"/>
          <w:b/>
          <w:bCs/>
          <w:color w:val="333333"/>
          <w:kern w:val="0"/>
          <w:szCs w:val="24"/>
          <w:bdr w:val="none" w:sz="0" w:space="0" w:color="auto" w:frame="1"/>
        </w:rPr>
        <w:t>依下列定價面向計費：</w:t>
      </w:r>
    </w:p>
    <w:p w14:paraId="574B4DD9" w14:textId="77777777" w:rsidR="00015B57" w:rsidRPr="00015B57" w:rsidRDefault="00015B57" w:rsidP="00015B57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左邊：標準</w:t>
      </w:r>
    </w:p>
    <w:p w14:paraId="7EF66082" w14:textId="77777777" w:rsidR="00015B57" w:rsidRPr="00015B57" w:rsidRDefault="00015B57" w:rsidP="00015B57">
      <w:pPr>
        <w:widowControl/>
        <w:numPr>
          <w:ilvl w:val="0"/>
          <w:numId w:val="1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右邊：高階</w:t>
      </w:r>
    </w:p>
    <w:tbl>
      <w:tblPr>
        <w:tblW w:w="9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7"/>
        <w:gridCol w:w="2649"/>
        <w:gridCol w:w="4614"/>
      </w:tblGrid>
      <w:tr w:rsidR="00015B57" w:rsidRPr="00015B57" w14:paraId="5E5B5BCF" w14:textId="77777777" w:rsidTr="00015B57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CE163E5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祕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密作業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DC22E04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NT$0.902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D6C49E3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NT$0.902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</w:tr>
      <w:tr w:rsidR="00015B57" w:rsidRPr="00015B57" w14:paraId="37D3826D" w14:textId="77777777" w:rsidTr="00015B57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1DE05F0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憑證作業</w:t>
            </w:r>
            <w:r w:rsidRPr="00015B57">
              <w:rPr>
                <w:rFonts w:ascii="inherit" w:eastAsia="新細明體" w:hAnsi="inherit" w:cs="新細明體"/>
                <w:kern w:val="0"/>
                <w:sz w:val="19"/>
                <w:szCs w:val="19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D96BE0C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續約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-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每次續約申請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NT$90.163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。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br/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所有其他作業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NT$0.902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B05C7EC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續約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-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每次續約申請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NT$90.163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。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br/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所有其他作業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NT$0.902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</w:tr>
      <w:tr w:rsidR="00015B57" w:rsidRPr="00015B57" w14:paraId="24295EF9" w14:textId="77777777" w:rsidTr="00015B57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83F5355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受控的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Azure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儲存體帳戶金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鑰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輪替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(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預覽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06CC583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預覽期間免費。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br/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正式運作價格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每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更新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NT$30.055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r w:rsidRPr="00015B57">
              <w:rPr>
                <w:rFonts w:ascii="inherit" w:eastAsia="新細明體" w:hAnsi="inherit" w:cs="新細明體"/>
                <w:kern w:val="0"/>
                <w:sz w:val="19"/>
                <w:szCs w:val="19"/>
                <w:bdr w:val="none" w:sz="0" w:space="0" w:color="auto" w:frame="1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7E20011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預覽期間免費。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br/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正式運作價格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–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每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更新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NT$30.055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r w:rsidRPr="00015B57">
              <w:rPr>
                <w:rFonts w:ascii="inherit" w:eastAsia="新細明體" w:hAnsi="inherit" w:cs="新細明體"/>
                <w:kern w:val="0"/>
                <w:sz w:val="19"/>
                <w:szCs w:val="19"/>
                <w:bdr w:val="none" w:sz="0" w:space="0" w:color="auto" w:frame="1"/>
                <w:vertAlign w:val="superscript"/>
              </w:rPr>
              <w:t>3</w:t>
            </w:r>
          </w:p>
        </w:tc>
      </w:tr>
      <w:tr w:rsidR="00015B57" w:rsidRPr="00015B57" w14:paraId="019D1F6F" w14:textId="77777777" w:rsidTr="00015B57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22D4548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b/>
                <w:bCs/>
                <w:kern w:val="0"/>
                <w:szCs w:val="24"/>
                <w:bdr w:val="none" w:sz="0" w:space="0" w:color="auto" w:frame="1"/>
              </w:rPr>
              <w:t>受軟體保護的金</w:t>
            </w:r>
            <w:proofErr w:type="gramStart"/>
            <w:r w:rsidRPr="00015B57">
              <w:rPr>
                <w:rFonts w:ascii="inherit" w:eastAsia="新細明體" w:hAnsi="inherit" w:cs="新細明體"/>
                <w:b/>
                <w:bCs/>
                <w:kern w:val="0"/>
                <w:szCs w:val="24"/>
                <w:bdr w:val="none" w:sz="0" w:space="0" w:color="auto" w:frame="1"/>
              </w:rPr>
              <w:t>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DC7B84A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1F5E69E" w14:textId="77777777" w:rsidR="00015B57" w:rsidRPr="00015B57" w:rsidRDefault="00015B57" w:rsidP="00015B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5B57" w:rsidRPr="00015B57" w14:paraId="2DB5F907" w14:textId="77777777" w:rsidTr="00015B57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3CB8553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RSA 2048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位元金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1C663C6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NT$0.902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2EE5EC2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NT$0.902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</w:tr>
      <w:tr w:rsidR="00015B57" w:rsidRPr="00015B57" w14:paraId="3E781321" w14:textId="77777777" w:rsidTr="00015B57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391F5ABF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進階金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鑰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類型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 –</w:t>
            </w:r>
          </w:p>
          <w:p w14:paraId="02E92160" w14:textId="77777777" w:rsidR="00015B57" w:rsidRPr="00015B57" w:rsidRDefault="00015B57" w:rsidP="00015B57">
            <w:pPr>
              <w:widowControl/>
              <w:spacing w:after="390"/>
              <w:textAlignment w:val="baseline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RSA 3072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位元、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RSA 4096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位元及橢圓曲線密碼編譯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(ECC)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金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4B222B6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NT$4.509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0EA7ADD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NT$4.509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</w:tr>
      <w:tr w:rsidR="00015B57" w:rsidRPr="00015B57" w14:paraId="41477B54" w14:textId="77777777" w:rsidTr="00015B57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1F829E3A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b/>
                <w:bCs/>
                <w:kern w:val="0"/>
                <w:szCs w:val="24"/>
                <w:bdr w:val="none" w:sz="0" w:space="0" w:color="auto" w:frame="1"/>
              </w:rPr>
              <w:lastRenderedPageBreak/>
              <w:t>受</w:t>
            </w:r>
            <w:r w:rsidRPr="00015B57">
              <w:rPr>
                <w:rFonts w:ascii="inherit" w:eastAsia="新細明體" w:hAnsi="inherit" w:cs="新細明體"/>
                <w:b/>
                <w:bCs/>
                <w:kern w:val="0"/>
                <w:szCs w:val="24"/>
                <w:bdr w:val="none" w:sz="0" w:space="0" w:color="auto" w:frame="1"/>
              </w:rPr>
              <w:t xml:space="preserve"> HSM </w:t>
            </w:r>
            <w:r w:rsidRPr="00015B57">
              <w:rPr>
                <w:rFonts w:ascii="inherit" w:eastAsia="新細明體" w:hAnsi="inherit" w:cs="新細明體"/>
                <w:b/>
                <w:bCs/>
                <w:kern w:val="0"/>
                <w:szCs w:val="24"/>
                <w:bdr w:val="none" w:sz="0" w:space="0" w:color="auto" w:frame="1"/>
              </w:rPr>
              <w:t>保護的金</w:t>
            </w:r>
            <w:proofErr w:type="gramStart"/>
            <w:r w:rsidRPr="00015B57">
              <w:rPr>
                <w:rFonts w:ascii="inherit" w:eastAsia="新細明體" w:hAnsi="inherit" w:cs="新細明體"/>
                <w:b/>
                <w:bCs/>
                <w:kern w:val="0"/>
                <w:szCs w:val="24"/>
                <w:bdr w:val="none" w:sz="0" w:space="0" w:color="auto" w:frame="1"/>
              </w:rPr>
              <w:t>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0FCCFB7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2DB9859C" w14:textId="77777777" w:rsidR="00015B57" w:rsidRPr="00015B57" w:rsidRDefault="00015B57" w:rsidP="00015B5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15B57" w:rsidRPr="00015B57" w14:paraId="170C11D2" w14:textId="77777777" w:rsidTr="00015B57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6E530E32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RSA 2048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位元金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0354755A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5A26A16F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每月每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個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金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鑰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 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NT$30.055</w:t>
            </w:r>
            <w:r w:rsidRPr="00015B57">
              <w:rPr>
                <w:rFonts w:ascii="inherit" w:eastAsia="新細明體" w:hAnsi="inherit" w:cs="新細明體"/>
                <w:kern w:val="0"/>
                <w:sz w:val="19"/>
                <w:szCs w:val="19"/>
                <w:bdr w:val="none" w:sz="0" w:space="0" w:color="auto" w:frame="1"/>
                <w:vertAlign w:val="superscript"/>
              </w:rPr>
              <w:t>1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 + 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NT$0.902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</w:tr>
      <w:tr w:rsidR="00015B57" w:rsidRPr="00015B57" w14:paraId="110701EA" w14:textId="77777777" w:rsidTr="00015B57"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45145E62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進階金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鑰</w:t>
            </w:r>
            <w:proofErr w:type="gramEnd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類型</w:t>
            </w:r>
            <w:r w:rsidRPr="00015B57">
              <w:rPr>
                <w:rFonts w:ascii="inherit" w:eastAsia="新細明體" w:hAnsi="inherit" w:cs="新細明體"/>
                <w:kern w:val="0"/>
                <w:sz w:val="19"/>
                <w:szCs w:val="19"/>
                <w:bdr w:val="none" w:sz="0" w:space="0" w:color="auto" w:frame="1"/>
                <w:vertAlign w:val="superscript"/>
              </w:rPr>
              <w:t>1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 –</w:t>
            </w:r>
          </w:p>
          <w:p w14:paraId="3975BF2D" w14:textId="77777777" w:rsidR="00015B57" w:rsidRPr="00015B57" w:rsidRDefault="00015B57" w:rsidP="00015B57">
            <w:pPr>
              <w:widowControl/>
              <w:spacing w:after="390"/>
              <w:textAlignment w:val="baseline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RSA 3072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位元、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RSA 4096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位元及橢圓曲線密碼編譯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 (ECC)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金</w:t>
            </w:r>
            <w:proofErr w:type="gramStart"/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鑰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p w14:paraId="7533F890" w14:textId="77777777" w:rsidR="00015B57" w:rsidRPr="00015B57" w:rsidRDefault="00015B57" w:rsidP="00015B57">
            <w:pPr>
              <w:widowControl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FEFEF"/>
              <w:right w:val="nil"/>
            </w:tcBorders>
            <w:tcMar>
              <w:top w:w="90" w:type="dxa"/>
              <w:left w:w="45" w:type="dxa"/>
              <w:bottom w:w="90" w:type="dxa"/>
              <w:right w:w="45" w:type="dxa"/>
            </w:tcMar>
            <w:vAlign w:val="bottom"/>
            <w:hideMark/>
          </w:tcPr>
          <w:tbl>
            <w:tblPr>
              <w:tblW w:w="40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45"/>
              <w:gridCol w:w="2345"/>
            </w:tblGrid>
            <w:tr w:rsidR="00015B57" w:rsidRPr="00015B57" w14:paraId="11928C51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tcMar>
                    <w:top w:w="90" w:type="dxa"/>
                    <w:left w:w="45" w:type="dxa"/>
                    <w:bottom w:w="90" w:type="dxa"/>
                    <w:right w:w="45" w:type="dxa"/>
                  </w:tcMar>
                  <w:vAlign w:val="bottom"/>
                  <w:hideMark/>
                </w:tcPr>
                <w:p w14:paraId="65D396A2" w14:textId="77777777" w:rsidR="00015B57" w:rsidRPr="00015B57" w:rsidRDefault="00015B57" w:rsidP="00015B57">
                  <w:pPr>
                    <w:widowControl/>
                    <w:rPr>
                      <w:rFonts w:ascii="inherit" w:eastAsia="新細明體" w:hAnsi="inherit" w:cs="新細明體"/>
                      <w:kern w:val="0"/>
                      <w:szCs w:val="24"/>
                    </w:rPr>
                  </w:pP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前</w:t>
                  </w: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 xml:space="preserve"> 250 </w:t>
                  </w: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組金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鑰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tcMar>
                    <w:top w:w="90" w:type="dxa"/>
                    <w:left w:w="45" w:type="dxa"/>
                    <w:bottom w:w="90" w:type="dxa"/>
                    <w:right w:w="45" w:type="dxa"/>
                  </w:tcMar>
                  <w:vAlign w:val="bottom"/>
                  <w:hideMark/>
                </w:tcPr>
                <w:p w14:paraId="0146BB78" w14:textId="77777777" w:rsidR="00015B57" w:rsidRPr="00015B57" w:rsidRDefault="00015B57" w:rsidP="00015B57">
                  <w:pPr>
                    <w:widowControl/>
                    <w:rPr>
                      <w:rFonts w:ascii="inherit" w:eastAsia="新細明體" w:hAnsi="inherit" w:cs="新細明體"/>
                      <w:kern w:val="0"/>
                      <w:szCs w:val="24"/>
                    </w:rPr>
                  </w:pP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每月每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個</w:t>
                  </w:r>
                  <w:proofErr w:type="gramEnd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金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鑰</w:t>
                  </w:r>
                  <w:proofErr w:type="gramEnd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 </w:t>
                  </w: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  <w:bdr w:val="none" w:sz="0" w:space="0" w:color="auto" w:frame="1"/>
                    </w:rPr>
                    <w:t>NT$150.271</w:t>
                  </w:r>
                </w:p>
              </w:tc>
            </w:tr>
            <w:tr w:rsidR="00015B57" w:rsidRPr="00015B57" w14:paraId="4E715E02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tcMar>
                    <w:top w:w="90" w:type="dxa"/>
                    <w:left w:w="45" w:type="dxa"/>
                    <w:bottom w:w="90" w:type="dxa"/>
                    <w:right w:w="45" w:type="dxa"/>
                  </w:tcMar>
                  <w:vAlign w:val="bottom"/>
                  <w:hideMark/>
                </w:tcPr>
                <w:p w14:paraId="3E1DA8DD" w14:textId="77777777" w:rsidR="00015B57" w:rsidRPr="00015B57" w:rsidRDefault="00015B57" w:rsidP="00015B57">
                  <w:pPr>
                    <w:widowControl/>
                    <w:rPr>
                      <w:rFonts w:ascii="inherit" w:eastAsia="新細明體" w:hAnsi="inherit" w:cs="新細明體"/>
                      <w:kern w:val="0"/>
                      <w:szCs w:val="24"/>
                    </w:rPr>
                  </w:pP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從</w:t>
                  </w: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 xml:space="preserve"> 251 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–</w:t>
                  </w:r>
                  <w:proofErr w:type="gramEnd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 xml:space="preserve"> 1500 </w:t>
                  </w: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組金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鑰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tcMar>
                    <w:top w:w="90" w:type="dxa"/>
                    <w:left w:w="45" w:type="dxa"/>
                    <w:bottom w:w="90" w:type="dxa"/>
                    <w:right w:w="45" w:type="dxa"/>
                  </w:tcMar>
                  <w:vAlign w:val="bottom"/>
                  <w:hideMark/>
                </w:tcPr>
                <w:p w14:paraId="12E3F66D" w14:textId="77777777" w:rsidR="00015B57" w:rsidRPr="00015B57" w:rsidRDefault="00015B57" w:rsidP="00015B57">
                  <w:pPr>
                    <w:widowControl/>
                    <w:rPr>
                      <w:rFonts w:ascii="inherit" w:eastAsia="新細明體" w:hAnsi="inherit" w:cs="新細明體"/>
                      <w:kern w:val="0"/>
                      <w:szCs w:val="24"/>
                    </w:rPr>
                  </w:pP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每月每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個</w:t>
                  </w:r>
                  <w:proofErr w:type="gramEnd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金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鑰</w:t>
                  </w:r>
                  <w:proofErr w:type="gramEnd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 </w:t>
                  </w: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  <w:bdr w:val="none" w:sz="0" w:space="0" w:color="auto" w:frame="1"/>
                    </w:rPr>
                    <w:t>NT$75.136</w:t>
                  </w:r>
                </w:p>
              </w:tc>
            </w:tr>
            <w:tr w:rsidR="00015B57" w:rsidRPr="00015B57" w14:paraId="40822E70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tcMar>
                    <w:top w:w="90" w:type="dxa"/>
                    <w:left w:w="45" w:type="dxa"/>
                    <w:bottom w:w="90" w:type="dxa"/>
                    <w:right w:w="45" w:type="dxa"/>
                  </w:tcMar>
                  <w:vAlign w:val="bottom"/>
                  <w:hideMark/>
                </w:tcPr>
                <w:p w14:paraId="6E304538" w14:textId="77777777" w:rsidR="00015B57" w:rsidRPr="00015B57" w:rsidRDefault="00015B57" w:rsidP="00015B57">
                  <w:pPr>
                    <w:widowControl/>
                    <w:rPr>
                      <w:rFonts w:ascii="inherit" w:eastAsia="新細明體" w:hAnsi="inherit" w:cs="新細明體"/>
                      <w:kern w:val="0"/>
                      <w:szCs w:val="24"/>
                    </w:rPr>
                  </w:pP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從</w:t>
                  </w: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 xml:space="preserve"> 1501 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–</w:t>
                  </w:r>
                  <w:proofErr w:type="gramEnd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 xml:space="preserve"> 4000 </w:t>
                  </w: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組金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鑰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tcMar>
                    <w:top w:w="90" w:type="dxa"/>
                    <w:left w:w="45" w:type="dxa"/>
                    <w:bottom w:w="90" w:type="dxa"/>
                    <w:right w:w="45" w:type="dxa"/>
                  </w:tcMar>
                  <w:vAlign w:val="bottom"/>
                  <w:hideMark/>
                </w:tcPr>
                <w:p w14:paraId="4CDC7505" w14:textId="77777777" w:rsidR="00015B57" w:rsidRPr="00015B57" w:rsidRDefault="00015B57" w:rsidP="00015B57">
                  <w:pPr>
                    <w:widowControl/>
                    <w:rPr>
                      <w:rFonts w:ascii="inherit" w:eastAsia="新細明體" w:hAnsi="inherit" w:cs="新細明體"/>
                      <w:kern w:val="0"/>
                      <w:szCs w:val="24"/>
                    </w:rPr>
                  </w:pP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每月每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個</w:t>
                  </w:r>
                  <w:proofErr w:type="gramEnd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金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鑰</w:t>
                  </w:r>
                  <w:proofErr w:type="gramEnd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 </w:t>
                  </w: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  <w:bdr w:val="none" w:sz="0" w:space="0" w:color="auto" w:frame="1"/>
                    </w:rPr>
                    <w:t>NT$27.049</w:t>
                  </w:r>
                </w:p>
              </w:tc>
            </w:tr>
            <w:tr w:rsidR="00015B57" w:rsidRPr="00015B57" w14:paraId="7CB5B669" w14:textId="77777777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tcMar>
                    <w:top w:w="90" w:type="dxa"/>
                    <w:left w:w="45" w:type="dxa"/>
                    <w:bottom w:w="90" w:type="dxa"/>
                    <w:right w:w="45" w:type="dxa"/>
                  </w:tcMar>
                  <w:vAlign w:val="bottom"/>
                  <w:hideMark/>
                </w:tcPr>
                <w:p w14:paraId="5D3C4E8F" w14:textId="77777777" w:rsidR="00015B57" w:rsidRPr="00015B57" w:rsidRDefault="00015B57" w:rsidP="00015B57">
                  <w:pPr>
                    <w:widowControl/>
                    <w:rPr>
                      <w:rFonts w:ascii="inherit" w:eastAsia="新細明體" w:hAnsi="inherit" w:cs="新細明體"/>
                      <w:kern w:val="0"/>
                      <w:szCs w:val="24"/>
                    </w:rPr>
                  </w:pP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 xml:space="preserve">4001 </w:t>
                  </w: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組以上的金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鑰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EFEF"/>
                    <w:right w:val="nil"/>
                  </w:tcBorders>
                  <w:tcMar>
                    <w:top w:w="90" w:type="dxa"/>
                    <w:left w:w="45" w:type="dxa"/>
                    <w:bottom w:w="90" w:type="dxa"/>
                    <w:right w:w="45" w:type="dxa"/>
                  </w:tcMar>
                  <w:vAlign w:val="bottom"/>
                  <w:hideMark/>
                </w:tcPr>
                <w:p w14:paraId="6D9EB5EA" w14:textId="77777777" w:rsidR="00015B57" w:rsidRPr="00015B57" w:rsidRDefault="00015B57" w:rsidP="00015B57">
                  <w:pPr>
                    <w:widowControl/>
                    <w:rPr>
                      <w:rFonts w:ascii="inherit" w:eastAsia="新細明體" w:hAnsi="inherit" w:cs="新細明體"/>
                      <w:kern w:val="0"/>
                      <w:szCs w:val="24"/>
                    </w:rPr>
                  </w:pP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每月每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個</w:t>
                  </w:r>
                  <w:proofErr w:type="gramEnd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金</w:t>
                  </w:r>
                  <w:proofErr w:type="gramStart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鑰</w:t>
                  </w:r>
                  <w:proofErr w:type="gramEnd"/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</w:rPr>
                    <w:t> </w:t>
                  </w:r>
                  <w:r w:rsidRPr="00015B57">
                    <w:rPr>
                      <w:rFonts w:ascii="inherit" w:eastAsia="新細明體" w:hAnsi="inherit" w:cs="新細明體"/>
                      <w:kern w:val="0"/>
                      <w:szCs w:val="24"/>
                      <w:bdr w:val="none" w:sz="0" w:space="0" w:color="auto" w:frame="1"/>
                    </w:rPr>
                    <w:t>NT$12.022</w:t>
                  </w:r>
                </w:p>
              </w:tc>
            </w:tr>
          </w:tbl>
          <w:p w14:paraId="6223C344" w14:textId="77777777" w:rsidR="00015B57" w:rsidRPr="00015B57" w:rsidRDefault="00015B57" w:rsidP="00015B57">
            <w:pPr>
              <w:widowControl/>
              <w:textAlignment w:val="baseline"/>
              <w:rPr>
                <w:rFonts w:ascii="inherit" w:eastAsia="新細明體" w:hAnsi="inherit" w:cs="新細明體"/>
                <w:kern w:val="0"/>
                <w:szCs w:val="24"/>
              </w:rPr>
            </w:pP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+ 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  <w:bdr w:val="none" w:sz="0" w:space="0" w:color="auto" w:frame="1"/>
              </w:rPr>
              <w:t>NT$4.509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 xml:space="preserve">/10,000 </w:t>
            </w:r>
            <w:r w:rsidRPr="00015B57">
              <w:rPr>
                <w:rFonts w:ascii="inherit" w:eastAsia="新細明體" w:hAnsi="inherit" w:cs="新細明體"/>
                <w:kern w:val="0"/>
                <w:szCs w:val="24"/>
              </w:rPr>
              <w:t>筆交易</w:t>
            </w:r>
          </w:p>
        </w:tc>
      </w:tr>
    </w:tbl>
    <w:p w14:paraId="54E12B4C" w14:textId="77777777" w:rsidR="00015B57" w:rsidRPr="00015B57" w:rsidRDefault="00015B57" w:rsidP="00015B57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 w:val="19"/>
          <w:szCs w:val="19"/>
          <w:bdr w:val="none" w:sz="0" w:space="0" w:color="auto" w:frame="1"/>
          <w:vertAlign w:val="superscript"/>
        </w:rPr>
        <w:t>1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只有使用中的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HSM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保護金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(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在頭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30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天內使用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)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會收費，而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HSM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保護金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的每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個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版本分別計為一份金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。請參閱下方的常見問題集，以取得詳細資料。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2018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年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11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月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1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號將開始計費。</w:t>
      </w:r>
    </w:p>
    <w:p w14:paraId="5D46F2C7" w14:textId="77777777" w:rsidR="00015B57" w:rsidRPr="00015B57" w:rsidRDefault="00015B57" w:rsidP="00015B57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 w:val="19"/>
          <w:szCs w:val="19"/>
          <w:bdr w:val="none" w:sz="0" w:space="0" w:color="auto" w:frame="1"/>
          <w:vertAlign w:val="superscript"/>
        </w:rPr>
        <w:t>2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Key Vault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不會核發憑證或轉售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CA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的憑證。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Key Vault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可簡化並自動執行您向公開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CA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購買憑證時的一些作業，例如註冊或續約。</w:t>
      </w:r>
    </w:p>
    <w:p w14:paraId="05DC92EA" w14:textId="77777777" w:rsidR="00015B57" w:rsidRPr="00015B57" w:rsidRDefault="00015B57" w:rsidP="00015B57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 w:val="19"/>
          <w:szCs w:val="19"/>
          <w:bdr w:val="none" w:sz="0" w:space="0" w:color="auto" w:frame="1"/>
          <w:vertAlign w:val="superscript"/>
        </w:rPr>
        <w:t>3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儲存體帳戶金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會在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Key Vault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中儲存為「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祕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密」，因此對這些金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執行的任何作業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(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包括續約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)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均適用作業費用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(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請參閱上方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[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祕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密作業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]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列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)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。如需如何定義作業的詳細資料，請參閱下方常見問題集。</w:t>
      </w:r>
    </w:p>
    <w:p w14:paraId="79FCCD95" w14:textId="77777777" w:rsidR="00015B57" w:rsidRPr="00015B57" w:rsidRDefault="00015B57" w:rsidP="00015B57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015B57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Azure Key Vault Q&amp;A</w:t>
      </w:r>
    </w:p>
    <w:p w14:paraId="7267BE45" w14:textId="77777777" w:rsidR="00015B57" w:rsidRPr="00015B57" w:rsidRDefault="00015B57" w:rsidP="00015B57">
      <w:pPr>
        <w:widowControl/>
        <w:shd w:val="clear" w:color="auto" w:fill="FFFFFF"/>
        <w:spacing w:before="390" w:after="390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015B57">
        <w:rPr>
          <w:rFonts w:ascii="Arial" w:eastAsia="新細明體" w:hAnsi="Arial" w:cs="Arial"/>
          <w:color w:val="333333"/>
          <w:kern w:val="0"/>
          <w:sz w:val="17"/>
          <w:szCs w:val="17"/>
        </w:rPr>
        <w:t>我可在</w:t>
      </w:r>
      <w:r w:rsidRPr="00015B57">
        <w:rPr>
          <w:rFonts w:ascii="Arial" w:eastAsia="新細明體" w:hAnsi="Arial" w:cs="Arial"/>
          <w:color w:val="333333"/>
          <w:kern w:val="0"/>
          <w:sz w:val="17"/>
          <w:szCs w:val="17"/>
        </w:rPr>
        <w:t xml:space="preserve"> Key Vault </w:t>
      </w:r>
      <w:r w:rsidRPr="00015B57">
        <w:rPr>
          <w:rFonts w:ascii="Arial" w:eastAsia="新細明體" w:hAnsi="Arial" w:cs="Arial"/>
          <w:color w:val="333333"/>
          <w:kern w:val="0"/>
          <w:sz w:val="17"/>
          <w:szCs w:val="17"/>
        </w:rPr>
        <w:t>中儲存什麼？</w:t>
      </w:r>
    </w:p>
    <w:p w14:paraId="10FB41B3" w14:textId="77777777" w:rsidR="00015B57" w:rsidRPr="00015B57" w:rsidRDefault="00015B57" w:rsidP="00015B57">
      <w:pPr>
        <w:widowControl/>
        <w:numPr>
          <w:ilvl w:val="0"/>
          <w:numId w:val="2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HSM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中匯入或產生金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，而當要求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Key Vault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做解密或簽署金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時，此作業會在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HSM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內執行。</w:t>
      </w:r>
    </w:p>
    <w:p w14:paraId="12142169" w14:textId="77777777" w:rsidR="00015B57" w:rsidRPr="00015B57" w:rsidRDefault="00015B57" w:rsidP="00015B57">
      <w:pPr>
        <w:widowControl/>
        <w:numPr>
          <w:ilvl w:val="0"/>
          <w:numId w:val="2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可使用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HSM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中金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進行加密。另外加密編譯作業會在軟體中執行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(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相對在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HSM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內部執行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)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。這些計算會以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Azure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計算角色執行。</w:t>
      </w:r>
    </w:p>
    <w:p w14:paraId="29526128" w14:textId="77777777" w:rsidR="00015B57" w:rsidRPr="00015B57" w:rsidRDefault="00015B57" w:rsidP="00015B57">
      <w:pPr>
        <w:widowControl/>
        <w:numPr>
          <w:ilvl w:val="0"/>
          <w:numId w:val="2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祕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密是應用程式可用純文字儲存及擷取資料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&lt;= 10 KB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如：密碼或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.PFX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檔，此外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Key Vault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可用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HSM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支援的金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，讓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祕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密維持加密狀態並供存取控制。</w:t>
      </w:r>
    </w:p>
    <w:p w14:paraId="58661538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PS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：除金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與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祕密外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還可儲存購買自公開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CA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的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SSL/TLS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憑證，如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Key Vault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目前支援公開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CA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，即可透過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Key Vault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自動加以註冊更新。</w:t>
      </w:r>
    </w:p>
    <w:p w14:paraId="5F48EF71" w14:textId="77777777" w:rsidR="00015B57" w:rsidRPr="00015B57" w:rsidRDefault="00015B57" w:rsidP="00015B57">
      <w:pPr>
        <w:widowControl/>
        <w:shd w:val="clear" w:color="auto" w:fill="FFFFFF"/>
        <w:spacing w:before="390" w:after="390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015B57">
        <w:rPr>
          <w:rFonts w:ascii="Arial" w:eastAsia="新細明體" w:hAnsi="Arial" w:cs="Arial"/>
          <w:color w:val="333333"/>
          <w:kern w:val="0"/>
          <w:sz w:val="17"/>
          <w:szCs w:val="17"/>
        </w:rPr>
        <w:lastRenderedPageBreak/>
        <w:t xml:space="preserve">Azure Key Vault </w:t>
      </w:r>
      <w:r w:rsidRPr="00015B57">
        <w:rPr>
          <w:rFonts w:ascii="Arial" w:eastAsia="新細明體" w:hAnsi="Arial" w:cs="Arial"/>
          <w:color w:val="333333"/>
          <w:kern w:val="0"/>
          <w:sz w:val="17"/>
          <w:szCs w:val="17"/>
        </w:rPr>
        <w:t>是否有設定成本？</w:t>
      </w:r>
    </w:p>
    <w:p w14:paraId="0C16A3B0" w14:textId="77777777" w:rsidR="00015B57" w:rsidRPr="00015B57" w:rsidRDefault="00015B57" w:rsidP="00015B57">
      <w:pPr>
        <w:widowControl/>
        <w:numPr>
          <w:ilvl w:val="0"/>
          <w:numId w:val="3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設定為免費</w:t>
      </w:r>
    </w:p>
    <w:p w14:paraId="5B923E0C" w14:textId="77777777" w:rsidR="00015B57" w:rsidRPr="00015B57" w:rsidRDefault="00015B57" w:rsidP="00015B57">
      <w:pPr>
        <w:widowControl/>
        <w:shd w:val="clear" w:color="auto" w:fill="FFFFFF"/>
        <w:spacing w:before="390" w:after="390"/>
        <w:textAlignment w:val="baseline"/>
        <w:outlineLvl w:val="3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015B57">
        <w:rPr>
          <w:rFonts w:ascii="Arial" w:eastAsia="新細明體" w:hAnsi="Arial" w:cs="Arial"/>
          <w:color w:val="333333"/>
          <w:kern w:val="0"/>
          <w:sz w:val="17"/>
          <w:szCs w:val="17"/>
        </w:rPr>
        <w:t>如果受</w:t>
      </w:r>
      <w:r w:rsidRPr="00015B57">
        <w:rPr>
          <w:rFonts w:ascii="Arial" w:eastAsia="新細明體" w:hAnsi="Arial" w:cs="Arial"/>
          <w:color w:val="333333"/>
          <w:kern w:val="0"/>
          <w:sz w:val="17"/>
          <w:szCs w:val="17"/>
        </w:rPr>
        <w:t xml:space="preserve"> HSM </w:t>
      </w:r>
      <w:r w:rsidRPr="00015B57">
        <w:rPr>
          <w:rFonts w:ascii="Arial" w:eastAsia="新細明體" w:hAnsi="Arial" w:cs="Arial"/>
          <w:color w:val="333333"/>
          <w:kern w:val="0"/>
          <w:sz w:val="17"/>
          <w:szCs w:val="17"/>
        </w:rPr>
        <w:t>保護的金</w:t>
      </w:r>
      <w:proofErr w:type="gramStart"/>
      <w:r w:rsidRPr="00015B57">
        <w:rPr>
          <w:rFonts w:ascii="Arial" w:eastAsia="新細明體" w:hAnsi="Arial" w:cs="Arial"/>
          <w:color w:val="333333"/>
          <w:kern w:val="0"/>
          <w:sz w:val="17"/>
          <w:szCs w:val="17"/>
        </w:rPr>
        <w:t>鑰</w:t>
      </w:r>
      <w:proofErr w:type="gramEnd"/>
      <w:r w:rsidRPr="00015B57">
        <w:rPr>
          <w:rFonts w:ascii="Arial" w:eastAsia="新細明體" w:hAnsi="Arial" w:cs="Arial"/>
          <w:color w:val="333333"/>
          <w:kern w:val="0"/>
          <w:sz w:val="17"/>
          <w:szCs w:val="17"/>
        </w:rPr>
        <w:t>啟用時間不滿一個月，如何計費？</w:t>
      </w:r>
    </w:p>
    <w:p w14:paraId="14634B85" w14:textId="77777777" w:rsidR="00015B57" w:rsidRPr="00015B57" w:rsidRDefault="00015B57" w:rsidP="00015B57">
      <w:pPr>
        <w:widowControl/>
        <w:numPr>
          <w:ilvl w:val="0"/>
          <w:numId w:val="4"/>
        </w:numPr>
        <w:shd w:val="clear" w:color="auto" w:fill="FFFFFF"/>
        <w:ind w:left="111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HSM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收費不會依啟用時間長短依比例計費。只有過去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30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天內至少使用過一次的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 HSM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，才會依照金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的建立週年日計費。</w:t>
      </w:r>
    </w:p>
    <w:p w14:paraId="4054FC24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1759CE38" w14:textId="77777777" w:rsidR="00015B57" w:rsidRPr="00015B57" w:rsidRDefault="00015B57" w:rsidP="00015B57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015B57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服務架構</w:t>
      </w:r>
    </w:p>
    <w:p w14:paraId="6B48E55A" w14:textId="3B98BCB2" w:rsidR="00015B57" w:rsidRPr="00015B57" w:rsidRDefault="00015B57" w:rsidP="00015B57">
      <w:pPr>
        <w:widowControl/>
        <w:shd w:val="clear" w:color="auto" w:fill="FFFFFF"/>
        <w:spacing w:before="390" w:after="390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015B57">
        <w:rPr>
          <w:rFonts w:ascii="Arial" w:eastAsia="新細明體" w:hAnsi="Arial" w:cs="Arial"/>
          <w:noProof/>
          <w:color w:val="333333"/>
          <w:kern w:val="0"/>
          <w:sz w:val="38"/>
          <w:szCs w:val="38"/>
        </w:rPr>
        <w:drawing>
          <wp:inline distT="0" distB="0" distL="0" distR="0" wp14:anchorId="25513001" wp14:editId="77ACCF47">
            <wp:extent cx="5274310" cy="2455545"/>
            <wp:effectExtent l="0" t="0" r="2540" b="190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39193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 </w:t>
      </w:r>
    </w:p>
    <w:p w14:paraId="46449330" w14:textId="77777777" w:rsidR="00015B57" w:rsidRPr="00015B57" w:rsidRDefault="00015B57" w:rsidP="00015B57">
      <w:pPr>
        <w:widowControl/>
        <w:shd w:val="clear" w:color="auto" w:fill="FFFFFF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015B57">
        <w:rPr>
          <w:rFonts w:ascii="inherit" w:eastAsia="新細明體" w:hAnsi="inherit" w:cs="Arial"/>
          <w:color w:val="008080"/>
          <w:kern w:val="0"/>
          <w:sz w:val="38"/>
          <w:szCs w:val="38"/>
          <w:bdr w:val="none" w:sz="0" w:space="0" w:color="auto" w:frame="1"/>
        </w:rPr>
        <w:t>簡易實測環境</w:t>
      </w:r>
    </w:p>
    <w:p w14:paraId="4FCF69A9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1.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建立金要保存庫服務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定價層請參閱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服務價格內容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(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記得要與保護的標的地區一致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63154E56" w14:textId="740AAE31" w:rsidR="00015B57" w:rsidRPr="00015B57" w:rsidRDefault="00015B57" w:rsidP="00015B57">
      <w:pPr>
        <w:widowControl/>
        <w:shd w:val="clear" w:color="auto" w:fill="FFFFFF"/>
        <w:spacing w:before="390" w:after="390"/>
        <w:textAlignment w:val="baseline"/>
        <w:outlineLvl w:val="1"/>
        <w:rPr>
          <w:rFonts w:ascii="Arial" w:eastAsia="新細明體" w:hAnsi="Arial" w:cs="Arial"/>
          <w:color w:val="333333"/>
          <w:kern w:val="0"/>
          <w:sz w:val="38"/>
          <w:szCs w:val="38"/>
        </w:rPr>
      </w:pPr>
      <w:r w:rsidRPr="00015B57">
        <w:rPr>
          <w:rFonts w:ascii="Arial" w:eastAsia="新細明體" w:hAnsi="Arial" w:cs="Arial"/>
          <w:noProof/>
          <w:color w:val="333333"/>
          <w:kern w:val="0"/>
          <w:sz w:val="38"/>
          <w:szCs w:val="38"/>
        </w:rPr>
        <w:lastRenderedPageBreak/>
        <w:drawing>
          <wp:inline distT="0" distB="0" distL="0" distR="0" wp14:anchorId="36AB5F7F" wp14:editId="67BA603B">
            <wp:extent cx="4895850" cy="4924425"/>
            <wp:effectExtent l="0" t="0" r="0" b="9525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2032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2.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預設會把目前此帳戶做為管理者權限可以依需求調整，金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權限</w:t>
      </w:r>
    </w:p>
    <w:p w14:paraId="7FBEE7AA" w14:textId="79C117AE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677B6067" wp14:editId="4FFEB70C">
            <wp:extent cx="5274310" cy="4663440"/>
            <wp:effectExtent l="0" t="0" r="254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6C3A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3.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秘密權限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(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此範例我選擇全選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45A6D67F" w14:textId="31CA823C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032E4463" wp14:editId="25F7E2F4">
            <wp:extent cx="5274310" cy="2799715"/>
            <wp:effectExtent l="0" t="0" r="2540" b="63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8F6B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lastRenderedPageBreak/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4.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憑證權限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(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此範例我選擇全選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)</w:t>
      </w:r>
    </w:p>
    <w:p w14:paraId="34ADC813" w14:textId="05C97286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21022BD6" wp14:editId="6B145338">
            <wp:extent cx="5274310" cy="3010535"/>
            <wp:effectExtent l="0" t="0" r="2540" b="0"/>
            <wp:docPr id="18" name="圖片 1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5054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5.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網路存取也支援內部虛擬網路，但如果是有對外或是部份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PaaS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不支援內部虛擬網路情況下仍需要對所有網路允許</w:t>
      </w:r>
    </w:p>
    <w:p w14:paraId="23D36EAC" w14:textId="117E3A6C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6B58681D" wp14:editId="2F52AB31">
            <wp:extent cx="5067300" cy="1771650"/>
            <wp:effectExtent l="0" t="0" r="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9341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6.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透過內部虛擬網路示範</w:t>
      </w:r>
    </w:p>
    <w:p w14:paraId="7EA2E51F" w14:textId="1C675A99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399F1A4B" wp14:editId="6A06A7FC">
            <wp:extent cx="5274310" cy="1388110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E587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lastRenderedPageBreak/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7.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設置驗證無誤</w:t>
      </w:r>
    </w:p>
    <w:p w14:paraId="1D3E3673" w14:textId="4516F5D8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27C08F88" wp14:editId="2673D74A">
            <wp:extent cx="3276600" cy="4191000"/>
            <wp:effectExtent l="0" t="0" r="0" b="0"/>
            <wp:docPr id="15" name="圖片 1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9B69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8.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建立完成</w:t>
      </w:r>
    </w:p>
    <w:p w14:paraId="16460FD8" w14:textId="244EB71E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214F178B" wp14:editId="073200A0">
            <wp:extent cx="5274310" cy="2193290"/>
            <wp:effectExtent l="0" t="0" r="2540" b="0"/>
            <wp:docPr id="14" name="圖片 1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9F52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9.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此圖中多了一組應用程式是因為儲存加密的關係，詳細可以看此篇章</w:t>
      </w:r>
    </w:p>
    <w:p w14:paraId="161EDC11" w14:textId="77777777" w:rsidR="00015B57" w:rsidRPr="00015B57" w:rsidRDefault="00015B57" w:rsidP="00015B57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hyperlink r:id="rId15" w:history="1">
        <w:r w:rsidRPr="00015B57">
          <w:rPr>
            <w:rFonts w:ascii="inherit" w:eastAsia="新細明體" w:hAnsi="inherit" w:cs="新細明體"/>
            <w:color w:val="44C2B2"/>
            <w:kern w:val="0"/>
            <w:szCs w:val="24"/>
            <w:bdr w:val="none" w:sz="0" w:space="0" w:color="auto" w:frame="1"/>
          </w:rPr>
          <w:t>https://ithelp.ithome.com.tw/articles/10214093</w:t>
        </w:r>
      </w:hyperlink>
    </w:p>
    <w:p w14:paraId="38ED3265" w14:textId="141CBFA6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7246FFBE" wp14:editId="49BDDEE4">
            <wp:extent cx="5274310" cy="392874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32BB2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10.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一樣可以設置監視計量可以多維度設置目前僅有三組針對金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保存庫的參數包含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API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結果，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API Hit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命中數及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API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的延遲三項</w:t>
      </w:r>
    </w:p>
    <w:p w14:paraId="3AA05828" w14:textId="002884F1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28CE0A78" wp14:editId="736B8DB6">
            <wp:extent cx="5274310" cy="3485515"/>
            <wp:effectExtent l="0" t="0" r="2540" b="635"/>
            <wp:docPr id="12" name="圖片 12" descr="一張含有 文字,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, 桌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2C030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lastRenderedPageBreak/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11.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這看起來是針對磁碟加密實作故意移除讓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Key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遺失後再還原而產生的</w:t>
      </w:r>
    </w:p>
    <w:p w14:paraId="4B73BA1E" w14:textId="35F302FF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03746D8C" wp14:editId="56207345">
            <wp:extent cx="5274310" cy="2072005"/>
            <wp:effectExtent l="0" t="0" r="2540" b="4445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F215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12.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剛剛另外把備份儲存體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Key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嘗試做還原</w:t>
      </w:r>
    </w:p>
    <w:p w14:paraId="78CED9A8" w14:textId="2D82D6EF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249B4012" wp14:editId="406994EB">
            <wp:extent cx="5274310" cy="3697605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0ED8E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13.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不過又顯示衝突提示已存在</w:t>
      </w:r>
    </w:p>
    <w:p w14:paraId="17262D3E" w14:textId="63A645E4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72F5AC75" wp14:editId="45337F45">
            <wp:extent cx="3676650" cy="295275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25008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14.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以為是因為已有一組秘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故需要先行移除後才能再還原其他組</w:t>
      </w:r>
    </w:p>
    <w:p w14:paraId="23E518B4" w14:textId="77CB7AA0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55E5EE00" wp14:editId="2CBA07D6">
            <wp:extent cx="5274310" cy="965200"/>
            <wp:effectExtent l="0" t="0" r="2540" b="635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640B" w14:textId="6DE110B3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70E86C9C" wp14:editId="77F7861D">
            <wp:extent cx="5274310" cy="1174115"/>
            <wp:effectExtent l="0" t="0" r="2540" b="698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CBBF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15.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秘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也移除了</w:t>
      </w:r>
    </w:p>
    <w:p w14:paraId="7B701861" w14:textId="7D54A409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1F9B8B1E" wp14:editId="4C0F2D96">
            <wp:extent cx="5274310" cy="1007110"/>
            <wp:effectExtent l="0" t="0" r="2540" b="254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431B5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16.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還原剛剛備份下來的儲存金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</w:p>
    <w:p w14:paraId="1CD3B8F5" w14:textId="5992619F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2D34CDD9" wp14:editId="6AF87AF8">
            <wp:extent cx="5274310" cy="2031365"/>
            <wp:effectExtent l="0" t="0" r="2540" b="6985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5E6F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17.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還是提示衝突</w:t>
      </w:r>
    </w:p>
    <w:p w14:paraId="0F126A1F" w14:textId="7CBF912F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5DC9D067" wp14:editId="348F6918">
            <wp:extent cx="4210050" cy="3400425"/>
            <wp:effectExtent l="0" t="0" r="0" b="9525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D7AA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18.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還原回剛剛的秘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鑰</w:t>
      </w:r>
      <w:proofErr w:type="gramEnd"/>
    </w:p>
    <w:p w14:paraId="06C78724" w14:textId="2B1D874E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224CDFB4" wp14:editId="438D9F1A">
            <wp:extent cx="5274310" cy="360807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1AF0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19.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還是失敗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…..</w:t>
      </w:r>
    </w:p>
    <w:p w14:paraId="794E3F21" w14:textId="071D9CAE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drawing>
          <wp:inline distT="0" distB="0" distL="0" distR="0" wp14:anchorId="7A2EBF86" wp14:editId="4227ACD1">
            <wp:extent cx="5274310" cy="2184400"/>
            <wp:effectExtent l="0" t="0" r="2540" b="635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8BBF1" w14:textId="77777777" w:rsidR="00015B57" w:rsidRPr="00015B57" w:rsidRDefault="00015B57" w:rsidP="00015B57">
      <w:pPr>
        <w:widowControl/>
        <w:shd w:val="clear" w:color="auto" w:fill="FFFFFF"/>
        <w:spacing w:after="390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圖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 xml:space="preserve">20. </w:t>
      </w:r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一樣是衝突，不動還好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一</w:t>
      </w:r>
      <w:proofErr w:type="gramEnd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動都掛了．．．．我要再研究研究</w:t>
      </w:r>
      <w:proofErr w:type="gramStart"/>
      <w:r w:rsidRPr="00015B57">
        <w:rPr>
          <w:rFonts w:ascii="inherit" w:eastAsia="新細明體" w:hAnsi="inherit" w:cs="新細明體"/>
          <w:color w:val="333333"/>
          <w:kern w:val="0"/>
          <w:szCs w:val="24"/>
        </w:rPr>
        <w:t>＠＠</w:t>
      </w:r>
      <w:proofErr w:type="gramEnd"/>
    </w:p>
    <w:p w14:paraId="1AAED635" w14:textId="68283BCA" w:rsidR="00015B57" w:rsidRPr="00015B57" w:rsidRDefault="00015B57" w:rsidP="00015B57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333333"/>
          <w:kern w:val="0"/>
          <w:szCs w:val="24"/>
        </w:rPr>
      </w:pPr>
      <w:r w:rsidRPr="00015B57">
        <w:rPr>
          <w:rFonts w:ascii="inherit" w:eastAsia="新細明體" w:hAnsi="inherit" w:cs="新細明體" w:hint="eastAsia"/>
          <w:noProof/>
          <w:color w:val="333333"/>
          <w:kern w:val="0"/>
          <w:szCs w:val="24"/>
        </w:rPr>
        <w:lastRenderedPageBreak/>
        <w:drawing>
          <wp:inline distT="0" distB="0" distL="0" distR="0" wp14:anchorId="6E766E4A" wp14:editId="0E9AEAA4">
            <wp:extent cx="3819525" cy="2800350"/>
            <wp:effectExtent l="0" t="0" r="952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8124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132"/>
    <w:multiLevelType w:val="multilevel"/>
    <w:tmpl w:val="687A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F71253"/>
    <w:multiLevelType w:val="multilevel"/>
    <w:tmpl w:val="449E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B60409"/>
    <w:multiLevelType w:val="multilevel"/>
    <w:tmpl w:val="D53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FE7A57"/>
    <w:multiLevelType w:val="multilevel"/>
    <w:tmpl w:val="5936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41"/>
    <w:rsid w:val="00015B57"/>
    <w:rsid w:val="000F4778"/>
    <w:rsid w:val="007B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C99D"/>
  <w15:chartTrackingRefBased/>
  <w15:docId w15:val="{D9F6D2E3-F04F-4F3F-A0A6-08A95F62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15B5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15B5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015B57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5B5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15B5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15B57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015B5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015B57"/>
    <w:rPr>
      <w:color w:val="0000FF"/>
      <w:u w:val="single"/>
    </w:rPr>
  </w:style>
  <w:style w:type="character" w:styleId="a4">
    <w:name w:val="Strong"/>
    <w:basedOn w:val="a0"/>
    <w:uiPriority w:val="22"/>
    <w:qFormat/>
    <w:rsid w:val="00015B57"/>
    <w:rPr>
      <w:b/>
      <w:bCs/>
    </w:rPr>
  </w:style>
  <w:style w:type="character" w:customStyle="1" w:styleId="price-data">
    <w:name w:val="price-data"/>
    <w:basedOn w:val="a0"/>
    <w:rsid w:val="00015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4051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ithelp.ithome.com.tw/articles/10214094" TargetMode="External"/><Relationship Id="rId15" Type="http://schemas.openxmlformats.org/officeDocument/2006/relationships/hyperlink" Target="https://ithelp.ithome.com.tw/articles/10214093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2022-05-16T03:04:00Z</dcterms:created>
  <dcterms:modified xsi:type="dcterms:W3CDTF">2022-05-16T03:11:00Z</dcterms:modified>
</cp:coreProperties>
</file>