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Email-to-Case</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color w:val="080707"/>
          <w:sz w:val="21"/>
          <w:szCs w:val="21"/>
          <w:highlight w:val="white"/>
        </w:rPr>
      </w:pPr>
      <w:r w:rsidDel="00000000" w:rsidR="00000000" w:rsidRPr="00000000">
        <w:rPr>
          <w:rtl w:val="0"/>
        </w:rPr>
        <w:t xml:space="preserve">E</w:t>
      </w:r>
      <w:r w:rsidDel="00000000" w:rsidR="00000000" w:rsidRPr="00000000">
        <w:rPr>
          <w:rtl w:val="0"/>
        </w:rPr>
        <w:t xml:space="preserve">mail-to-Case in Salesforce allows us to generate a case automatically </w:t>
      </w:r>
      <w:r w:rsidDel="00000000" w:rsidR="00000000" w:rsidRPr="00000000">
        <w:rPr>
          <w:color w:val="080707"/>
          <w:sz w:val="21"/>
          <w:szCs w:val="21"/>
          <w:highlight w:val="white"/>
          <w:rtl w:val="0"/>
        </w:rPr>
        <w:t xml:space="preserve">when customers send messages to your support email addresses.</w:t>
      </w:r>
    </w:p>
    <w:p w:rsidR="00000000" w:rsidDel="00000000" w:rsidP="00000000" w:rsidRDefault="00000000" w:rsidRPr="00000000" w14:paraId="00000004">
      <w:pPr>
        <w:rPr>
          <w:color w:val="080707"/>
          <w:sz w:val="21"/>
          <w:szCs w:val="21"/>
          <w:highlight w:val="white"/>
        </w:rPr>
      </w:pPr>
      <w:r w:rsidDel="00000000" w:rsidR="00000000" w:rsidRPr="00000000">
        <w:rPr>
          <w:rtl w:val="0"/>
        </w:rPr>
      </w:r>
    </w:p>
    <w:p w:rsidR="00000000" w:rsidDel="00000000" w:rsidP="00000000" w:rsidRDefault="00000000" w:rsidRPr="00000000" w14:paraId="00000005">
      <w:pPr>
        <w:jc w:val="center"/>
        <w:rPr>
          <w:b w:val="1"/>
          <w:color w:val="080707"/>
          <w:sz w:val="23"/>
          <w:szCs w:val="23"/>
          <w:highlight w:val="white"/>
        </w:rPr>
      </w:pPr>
      <w:r w:rsidDel="00000000" w:rsidR="00000000" w:rsidRPr="00000000">
        <w:rPr>
          <w:b w:val="1"/>
          <w:color w:val="080707"/>
          <w:sz w:val="23"/>
          <w:szCs w:val="23"/>
          <w:highlight w:val="white"/>
          <w:rtl w:val="0"/>
        </w:rPr>
        <w:t xml:space="preserve">Email-to-Case Setup</w:t>
      </w:r>
    </w:p>
    <w:p w:rsidR="00000000" w:rsidDel="00000000" w:rsidP="00000000" w:rsidRDefault="00000000" w:rsidRPr="00000000" w14:paraId="00000006">
      <w:pPr>
        <w:jc w:val="center"/>
        <w:rPr>
          <w:b w:val="1"/>
          <w:color w:val="080707"/>
          <w:sz w:val="23"/>
          <w:szCs w:val="23"/>
          <w:highlight w:val="white"/>
        </w:rPr>
      </w:pPr>
      <w:r w:rsidDel="00000000" w:rsidR="00000000" w:rsidRPr="00000000">
        <w:rPr>
          <w:rtl w:val="0"/>
        </w:rPr>
      </w:r>
    </w:p>
    <w:p w:rsidR="00000000" w:rsidDel="00000000" w:rsidP="00000000" w:rsidRDefault="00000000" w:rsidRPr="00000000" w14:paraId="00000007">
      <w:pPr>
        <w:numPr>
          <w:ilvl w:val="0"/>
          <w:numId w:val="2"/>
        </w:numPr>
        <w:ind w:left="720" w:hanging="360"/>
        <w:jc w:val="left"/>
        <w:rPr>
          <w:color w:val="080707"/>
          <w:highlight w:val="white"/>
        </w:rPr>
      </w:pPr>
      <w:r w:rsidDel="00000000" w:rsidR="00000000" w:rsidRPr="00000000">
        <w:rPr>
          <w:color w:val="080707"/>
          <w:highlight w:val="white"/>
          <w:rtl w:val="0"/>
        </w:rPr>
        <w:t xml:space="preserve">Before you enable Email-to-Case, take care of some configuration tasks.</w:t>
      </w:r>
    </w:p>
    <w:p w:rsidR="00000000" w:rsidDel="00000000" w:rsidP="00000000" w:rsidRDefault="00000000" w:rsidRPr="00000000" w14:paraId="00000008">
      <w:pPr>
        <w:numPr>
          <w:ilvl w:val="1"/>
          <w:numId w:val="2"/>
        </w:numPr>
        <w:shd w:fill="ffffff" w:val="clear"/>
        <w:spacing w:after="0" w:afterAutospacing="0" w:lineRule="auto"/>
        <w:ind w:left="1440" w:hanging="360"/>
        <w:rPr>
          <w:color w:val="080707"/>
        </w:rPr>
      </w:pPr>
      <w:r w:rsidDel="00000000" w:rsidR="00000000" w:rsidRPr="00000000">
        <w:rPr>
          <w:color w:val="080707"/>
          <w:highlight w:val="white"/>
          <w:rtl w:val="0"/>
        </w:rPr>
        <w:t xml:space="preserve">Confirm that your case page layout includes the Email quick action. This action lets agents respond to customer emails from the Service Console.</w:t>
      </w:r>
    </w:p>
    <w:p w:rsidR="00000000" w:rsidDel="00000000" w:rsidP="00000000" w:rsidRDefault="00000000" w:rsidRPr="00000000" w14:paraId="00000009">
      <w:pPr>
        <w:numPr>
          <w:ilvl w:val="1"/>
          <w:numId w:val="2"/>
        </w:numPr>
        <w:shd w:fill="ffffff" w:val="clear"/>
        <w:spacing w:after="0" w:afterAutospacing="0" w:lineRule="auto"/>
        <w:ind w:left="1440" w:hanging="360"/>
        <w:rPr>
          <w:color w:val="080707"/>
        </w:rPr>
      </w:pPr>
      <w:r w:rsidDel="00000000" w:rsidR="00000000" w:rsidRPr="00000000">
        <w:rPr>
          <w:color w:val="080707"/>
          <w:highlight w:val="white"/>
          <w:rtl w:val="0"/>
        </w:rPr>
        <w:t xml:space="preserve">(Optional but recommended) Create email templates for agents to use when replying to an email. These templates can include merge fields that show information from the original email or case in the reply. </w:t>
      </w:r>
    </w:p>
    <w:p w:rsidR="00000000" w:rsidDel="00000000" w:rsidP="00000000" w:rsidRDefault="00000000" w:rsidRPr="00000000" w14:paraId="0000000A">
      <w:pPr>
        <w:numPr>
          <w:ilvl w:val="2"/>
          <w:numId w:val="2"/>
        </w:numPr>
        <w:shd w:fill="ffffff" w:val="clear"/>
        <w:spacing w:after="0" w:afterAutospacing="0" w:lineRule="auto"/>
        <w:ind w:left="2160" w:hanging="360"/>
        <w:rPr>
          <w:color w:val="080707"/>
        </w:rPr>
      </w:pPr>
      <w:r w:rsidDel="00000000" w:rsidR="00000000" w:rsidRPr="00000000">
        <w:rPr>
          <w:color w:val="080707"/>
          <w:highlight w:val="white"/>
          <w:rtl w:val="0"/>
        </w:rPr>
        <w:t xml:space="preserve">For example, in a template in Lightning Experience, include the Case Thread Token merge field so that Email-to-Case can match replies to cases using token-based threading.</w:t>
      </w:r>
    </w:p>
    <w:p w:rsidR="00000000" w:rsidDel="00000000" w:rsidP="00000000" w:rsidRDefault="00000000" w:rsidRPr="00000000" w14:paraId="0000000B">
      <w:pPr>
        <w:numPr>
          <w:ilvl w:val="1"/>
          <w:numId w:val="2"/>
        </w:numPr>
        <w:shd w:fill="ffffff" w:val="clear"/>
        <w:spacing w:after="180" w:lineRule="auto"/>
        <w:ind w:left="1440" w:hanging="360"/>
        <w:rPr>
          <w:color w:val="080707"/>
          <w:sz w:val="21"/>
          <w:szCs w:val="21"/>
        </w:rPr>
      </w:pPr>
      <w:r w:rsidDel="00000000" w:rsidR="00000000" w:rsidRPr="00000000">
        <w:rPr>
          <w:color w:val="080707"/>
          <w:sz w:val="21"/>
          <w:szCs w:val="21"/>
          <w:highlight w:val="white"/>
          <w:rtl w:val="0"/>
        </w:rPr>
        <w:t xml:space="preserve">From the Support Settings page in Setup, select a Default Case Owner and an Automated Case User. When you add routing addresses, you also have the option to add custom case ownership preferences that override the default ones.</w:t>
      </w:r>
    </w:p>
    <w:p w:rsidR="00000000" w:rsidDel="00000000" w:rsidP="00000000" w:rsidRDefault="00000000" w:rsidRPr="00000000" w14:paraId="0000000C">
      <w:pPr>
        <w:shd w:fill="ffffff" w:val="clear"/>
        <w:spacing w:after="180" w:lineRule="auto"/>
        <w:ind w:left="1440" w:firstLine="0"/>
        <w:rPr>
          <w:color w:val="080707"/>
          <w:sz w:val="21"/>
          <w:szCs w:val="21"/>
          <w:highlight w:val="white"/>
        </w:rPr>
      </w:pPr>
      <w:r w:rsidDel="00000000" w:rsidR="00000000" w:rsidRPr="00000000">
        <w:rPr>
          <w:rtl w:val="0"/>
        </w:rPr>
      </w:r>
    </w:p>
    <w:p w:rsidR="00000000" w:rsidDel="00000000" w:rsidP="00000000" w:rsidRDefault="00000000" w:rsidRPr="00000000" w14:paraId="0000000D">
      <w:pPr>
        <w:numPr>
          <w:ilvl w:val="0"/>
          <w:numId w:val="1"/>
        </w:numPr>
        <w:shd w:fill="ffffff" w:val="clear"/>
        <w:spacing w:after="0" w:afterAutospacing="0" w:lineRule="auto"/>
        <w:ind w:left="720" w:hanging="360"/>
        <w:rPr>
          <w:color w:val="080707"/>
          <w:sz w:val="21"/>
          <w:szCs w:val="21"/>
          <w:highlight w:val="white"/>
          <w:u w:val="none"/>
        </w:rPr>
      </w:pPr>
      <w:r w:rsidDel="00000000" w:rsidR="00000000" w:rsidRPr="00000000">
        <w:rPr>
          <w:color w:val="080707"/>
          <w:sz w:val="21"/>
          <w:szCs w:val="21"/>
          <w:highlight w:val="white"/>
          <w:rtl w:val="0"/>
        </w:rPr>
        <w:t xml:space="preserve">From Setup, enter Email-to-Case in the Quick Find box, then select Email-to-Case.</w:t>
      </w:r>
    </w:p>
    <w:p w:rsidR="00000000" w:rsidDel="00000000" w:rsidP="00000000" w:rsidRDefault="00000000" w:rsidRPr="00000000" w14:paraId="0000000E">
      <w:pPr>
        <w:numPr>
          <w:ilvl w:val="0"/>
          <w:numId w:val="1"/>
        </w:numPr>
        <w:shd w:fill="ffffff" w:val="clear"/>
        <w:spacing w:after="0" w:afterAutospacing="0" w:lineRule="auto"/>
        <w:ind w:left="720" w:hanging="360"/>
        <w:rPr>
          <w:color w:val="080707"/>
          <w:sz w:val="21"/>
          <w:szCs w:val="21"/>
          <w:highlight w:val="white"/>
          <w:u w:val="none"/>
        </w:rPr>
      </w:pPr>
      <w:r w:rsidDel="00000000" w:rsidR="00000000" w:rsidRPr="00000000">
        <w:rPr>
          <w:color w:val="080707"/>
          <w:sz w:val="21"/>
          <w:szCs w:val="21"/>
          <w:highlight w:val="white"/>
          <w:rtl w:val="0"/>
        </w:rPr>
        <w:t xml:space="preserve">Click Continue and then edit.</w:t>
      </w:r>
    </w:p>
    <w:p w:rsidR="00000000" w:rsidDel="00000000" w:rsidP="00000000" w:rsidRDefault="00000000" w:rsidRPr="00000000" w14:paraId="0000000F">
      <w:pPr>
        <w:numPr>
          <w:ilvl w:val="0"/>
          <w:numId w:val="1"/>
        </w:numPr>
        <w:shd w:fill="ffffff" w:val="clear"/>
        <w:spacing w:after="0" w:afterAutospacing="0" w:lineRule="auto"/>
        <w:ind w:left="720" w:hanging="360"/>
        <w:rPr>
          <w:color w:val="080707"/>
          <w:sz w:val="21"/>
          <w:szCs w:val="21"/>
          <w:highlight w:val="white"/>
          <w:u w:val="none"/>
        </w:rPr>
      </w:pPr>
      <w:r w:rsidDel="00000000" w:rsidR="00000000" w:rsidRPr="00000000">
        <w:rPr>
          <w:color w:val="080707"/>
          <w:sz w:val="21"/>
          <w:szCs w:val="21"/>
          <w:highlight w:val="white"/>
          <w:rtl w:val="0"/>
        </w:rPr>
        <w:t xml:space="preserve">Select “Enable Email-to-Case” and “Enable on-demand service” and if you want to change the default value of “Over email rate limit action” and “</w:t>
      </w:r>
      <w:r w:rsidDel="00000000" w:rsidR="00000000" w:rsidRPr="00000000">
        <w:rPr>
          <w:color w:val="080707"/>
          <w:sz w:val="21"/>
          <w:szCs w:val="21"/>
          <w:highlight w:val="white"/>
          <w:rtl w:val="0"/>
        </w:rPr>
        <w:t xml:space="preserve">Unauthorized</w:t>
      </w:r>
      <w:r w:rsidDel="00000000" w:rsidR="00000000" w:rsidRPr="00000000">
        <w:rPr>
          <w:color w:val="080707"/>
          <w:sz w:val="21"/>
          <w:szCs w:val="21"/>
          <w:highlight w:val="white"/>
          <w:rtl w:val="0"/>
        </w:rPr>
        <w:t xml:space="preserve"> sender action” you can change according to your requirement or leave them default and save.</w:t>
      </w:r>
    </w:p>
    <w:p w:rsidR="00000000" w:rsidDel="00000000" w:rsidP="00000000" w:rsidRDefault="00000000" w:rsidRPr="00000000" w14:paraId="00000010">
      <w:pPr>
        <w:numPr>
          <w:ilvl w:val="0"/>
          <w:numId w:val="1"/>
        </w:numPr>
        <w:shd w:fill="ffffff" w:val="clear"/>
        <w:spacing w:after="0" w:afterAutospacing="0" w:lineRule="auto"/>
        <w:ind w:left="720" w:hanging="360"/>
        <w:rPr>
          <w:color w:val="080707"/>
          <w:sz w:val="21"/>
          <w:szCs w:val="21"/>
          <w:highlight w:val="white"/>
          <w:u w:val="none"/>
        </w:rPr>
      </w:pPr>
      <w:r w:rsidDel="00000000" w:rsidR="00000000" w:rsidRPr="00000000">
        <w:rPr>
          <w:color w:val="080707"/>
          <w:sz w:val="21"/>
          <w:szCs w:val="21"/>
          <w:highlight w:val="white"/>
          <w:rtl w:val="0"/>
        </w:rPr>
        <w:t xml:space="preserve">After that again go to Setup, enter Email-to-Case in the Quick Find Box and then select Email-to-Case.</w:t>
      </w:r>
    </w:p>
    <w:p w:rsidR="00000000" w:rsidDel="00000000" w:rsidP="00000000" w:rsidRDefault="00000000" w:rsidRPr="00000000" w14:paraId="00000011">
      <w:pPr>
        <w:numPr>
          <w:ilvl w:val="0"/>
          <w:numId w:val="1"/>
        </w:numPr>
        <w:shd w:fill="ffffff" w:val="clear"/>
        <w:spacing w:after="0" w:afterAutospacing="0" w:lineRule="auto"/>
        <w:ind w:left="720" w:hanging="360"/>
        <w:rPr>
          <w:color w:val="080707"/>
          <w:sz w:val="21"/>
          <w:szCs w:val="21"/>
          <w:highlight w:val="white"/>
          <w:u w:val="none"/>
        </w:rPr>
      </w:pPr>
      <w:r w:rsidDel="00000000" w:rsidR="00000000" w:rsidRPr="00000000">
        <w:rPr>
          <w:color w:val="080707"/>
          <w:sz w:val="21"/>
          <w:szCs w:val="21"/>
          <w:highlight w:val="white"/>
          <w:rtl w:val="0"/>
        </w:rPr>
        <w:t xml:space="preserve">Now in the “Routing Addresses” list click on New.</w:t>
      </w:r>
    </w:p>
    <w:p w:rsidR="00000000" w:rsidDel="00000000" w:rsidP="00000000" w:rsidRDefault="00000000" w:rsidRPr="00000000" w14:paraId="00000012">
      <w:pPr>
        <w:numPr>
          <w:ilvl w:val="0"/>
          <w:numId w:val="1"/>
        </w:numPr>
        <w:shd w:fill="ffffff" w:val="clear"/>
        <w:spacing w:after="0" w:afterAutospacing="0" w:lineRule="auto"/>
        <w:ind w:left="720" w:hanging="360"/>
        <w:rPr>
          <w:color w:val="080707"/>
          <w:sz w:val="21"/>
          <w:szCs w:val="21"/>
          <w:highlight w:val="white"/>
          <w:u w:val="none"/>
        </w:rPr>
      </w:pPr>
      <w:r w:rsidDel="00000000" w:rsidR="00000000" w:rsidRPr="00000000">
        <w:rPr>
          <w:color w:val="080707"/>
          <w:sz w:val="21"/>
          <w:szCs w:val="21"/>
          <w:highlight w:val="white"/>
          <w:rtl w:val="0"/>
        </w:rPr>
        <w:t xml:space="preserve">Then provide a Routing Name and an Email Address at which your customers can reach your support team.</w:t>
      </w:r>
    </w:p>
    <w:p w:rsidR="00000000" w:rsidDel="00000000" w:rsidP="00000000" w:rsidRDefault="00000000" w:rsidRPr="00000000" w14:paraId="00000013">
      <w:pPr>
        <w:numPr>
          <w:ilvl w:val="0"/>
          <w:numId w:val="1"/>
        </w:numPr>
        <w:shd w:fill="ffffff" w:val="clear"/>
        <w:spacing w:after="0" w:afterAutospacing="0" w:lineRule="auto"/>
        <w:ind w:left="720" w:hanging="360"/>
        <w:rPr>
          <w:color w:val="080707"/>
          <w:sz w:val="21"/>
          <w:szCs w:val="21"/>
          <w:highlight w:val="white"/>
          <w:u w:val="none"/>
        </w:rPr>
      </w:pPr>
      <w:r w:rsidDel="00000000" w:rsidR="00000000" w:rsidRPr="00000000">
        <w:rPr>
          <w:color w:val="080707"/>
          <w:sz w:val="21"/>
          <w:szCs w:val="21"/>
          <w:highlight w:val="white"/>
          <w:rtl w:val="0"/>
        </w:rPr>
        <w:t xml:space="preserve">Then click on Save. A verification email is sent to the routing email address that you entered. So verify it and then again return to the Email-to-Case page in setup.</w:t>
      </w:r>
    </w:p>
    <w:p w:rsidR="00000000" w:rsidDel="00000000" w:rsidP="00000000" w:rsidRDefault="00000000" w:rsidRPr="00000000" w14:paraId="00000014">
      <w:pPr>
        <w:numPr>
          <w:ilvl w:val="0"/>
          <w:numId w:val="1"/>
        </w:numPr>
        <w:shd w:fill="ffffff" w:val="clear"/>
        <w:spacing w:after="0" w:afterAutospacing="0" w:lineRule="auto"/>
        <w:ind w:left="720" w:hanging="360"/>
        <w:rPr>
          <w:color w:val="080707"/>
          <w:sz w:val="21"/>
          <w:szCs w:val="21"/>
          <w:highlight w:val="white"/>
          <w:u w:val="none"/>
        </w:rPr>
      </w:pPr>
      <w:r w:rsidDel="00000000" w:rsidR="00000000" w:rsidRPr="00000000">
        <w:rPr>
          <w:color w:val="080707"/>
          <w:sz w:val="21"/>
          <w:szCs w:val="21"/>
          <w:highlight w:val="white"/>
          <w:rtl w:val="0"/>
        </w:rPr>
        <w:t xml:space="preserve">In the Routing Addresses section, notice that Salesforce generated an “Email Services Address” for your routing address.</w:t>
      </w:r>
    </w:p>
    <w:p w:rsidR="00000000" w:rsidDel="00000000" w:rsidP="00000000" w:rsidRDefault="00000000" w:rsidRPr="00000000" w14:paraId="00000015">
      <w:pPr>
        <w:numPr>
          <w:ilvl w:val="0"/>
          <w:numId w:val="1"/>
        </w:numPr>
        <w:shd w:fill="ffffff" w:val="clear"/>
        <w:spacing w:after="0" w:afterAutospacing="0" w:lineRule="auto"/>
        <w:ind w:left="720" w:hanging="360"/>
        <w:rPr>
          <w:color w:val="080707"/>
          <w:sz w:val="21"/>
          <w:szCs w:val="21"/>
          <w:highlight w:val="white"/>
          <w:u w:val="none"/>
        </w:rPr>
      </w:pPr>
      <w:r w:rsidDel="00000000" w:rsidR="00000000" w:rsidRPr="00000000">
        <w:rPr>
          <w:color w:val="080707"/>
          <w:sz w:val="21"/>
          <w:szCs w:val="21"/>
          <w:highlight w:val="white"/>
          <w:rtl w:val="0"/>
        </w:rPr>
        <w:t xml:space="preserve">Now go to gmail settings and then click on  “Forwarding”. </w:t>
      </w:r>
    </w:p>
    <w:p w:rsidR="00000000" w:rsidDel="00000000" w:rsidP="00000000" w:rsidRDefault="00000000" w:rsidRPr="00000000" w14:paraId="00000016">
      <w:pPr>
        <w:numPr>
          <w:ilvl w:val="0"/>
          <w:numId w:val="1"/>
        </w:numPr>
        <w:shd w:fill="ffffff" w:val="clear"/>
        <w:spacing w:after="0" w:afterAutospacing="0" w:lineRule="auto"/>
        <w:ind w:left="720" w:hanging="360"/>
        <w:rPr>
          <w:color w:val="080707"/>
          <w:sz w:val="21"/>
          <w:szCs w:val="21"/>
          <w:highlight w:val="white"/>
          <w:u w:val="none"/>
        </w:rPr>
      </w:pPr>
      <w:r w:rsidDel="00000000" w:rsidR="00000000" w:rsidRPr="00000000">
        <w:rPr>
          <w:color w:val="080707"/>
          <w:sz w:val="21"/>
          <w:szCs w:val="21"/>
          <w:highlight w:val="white"/>
          <w:rtl w:val="0"/>
        </w:rPr>
        <w:t xml:space="preserve">Click on “Add a forwarding address” and then copy the “Email Services Address” from the Email-to-Case page setup and then paste it here.</w:t>
      </w:r>
    </w:p>
    <w:p w:rsidR="00000000" w:rsidDel="00000000" w:rsidP="00000000" w:rsidRDefault="00000000" w:rsidRPr="00000000" w14:paraId="00000017">
      <w:pPr>
        <w:numPr>
          <w:ilvl w:val="0"/>
          <w:numId w:val="1"/>
        </w:numPr>
        <w:shd w:fill="ffffff" w:val="clear"/>
        <w:spacing w:after="0" w:afterAutospacing="0" w:lineRule="auto"/>
        <w:ind w:left="720" w:hanging="360"/>
        <w:rPr>
          <w:color w:val="080707"/>
          <w:sz w:val="21"/>
          <w:szCs w:val="21"/>
          <w:highlight w:val="white"/>
          <w:u w:val="none"/>
        </w:rPr>
      </w:pPr>
      <w:r w:rsidDel="00000000" w:rsidR="00000000" w:rsidRPr="00000000">
        <w:rPr>
          <w:color w:val="080707"/>
          <w:sz w:val="21"/>
          <w:szCs w:val="21"/>
          <w:highlight w:val="white"/>
          <w:rtl w:val="0"/>
        </w:rPr>
        <w:t xml:space="preserve">After that select “</w:t>
      </w:r>
      <w:r w:rsidDel="00000000" w:rsidR="00000000" w:rsidRPr="00000000">
        <w:rPr>
          <w:rFonts w:ascii="Roboto" w:cs="Roboto" w:eastAsia="Roboto" w:hAnsi="Roboto"/>
          <w:color w:val="202124"/>
          <w:sz w:val="21"/>
          <w:szCs w:val="21"/>
          <w:highlight w:val="white"/>
          <w:rtl w:val="0"/>
        </w:rPr>
        <w:t xml:space="preserve">Forward a copy of incoming mail to</w:t>
      </w:r>
      <w:r w:rsidDel="00000000" w:rsidR="00000000" w:rsidRPr="00000000">
        <w:rPr>
          <w:color w:val="080707"/>
          <w:sz w:val="21"/>
          <w:szCs w:val="21"/>
          <w:highlight w:val="white"/>
          <w:rtl w:val="0"/>
        </w:rPr>
        <w:t xml:space="preserve">” in gmail settings and select “keep Gmail’s copy in the inbox” (to make a copy in gmail also) then hit on “save changes”.</w:t>
      </w:r>
    </w:p>
    <w:p w:rsidR="00000000" w:rsidDel="00000000" w:rsidP="00000000" w:rsidRDefault="00000000" w:rsidRPr="00000000" w14:paraId="00000018">
      <w:pPr>
        <w:numPr>
          <w:ilvl w:val="0"/>
          <w:numId w:val="1"/>
        </w:numPr>
        <w:shd w:fill="ffffff" w:val="clear"/>
        <w:spacing w:after="180" w:lineRule="auto"/>
        <w:ind w:left="720" w:hanging="360"/>
        <w:rPr>
          <w:color w:val="080707"/>
          <w:sz w:val="21"/>
          <w:szCs w:val="21"/>
          <w:highlight w:val="white"/>
          <w:u w:val="none"/>
        </w:rPr>
      </w:pPr>
      <w:r w:rsidDel="00000000" w:rsidR="00000000" w:rsidRPr="00000000">
        <w:rPr>
          <w:color w:val="080707"/>
          <w:sz w:val="21"/>
          <w:szCs w:val="21"/>
          <w:highlight w:val="white"/>
          <w:rtl w:val="0"/>
        </w:rPr>
        <w:t xml:space="preserve">Now whenever a new email receives the address that you provided above then  salesforce automatically creates a Case record for this.</w:t>
      </w:r>
    </w:p>
    <w:p w:rsidR="00000000" w:rsidDel="00000000" w:rsidP="00000000" w:rsidRDefault="00000000" w:rsidRPr="00000000" w14:paraId="00000019">
      <w:pPr>
        <w:shd w:fill="ffffff" w:val="clear"/>
        <w:spacing w:after="180" w:lineRule="auto"/>
        <w:ind w:left="720" w:firstLine="0"/>
        <w:rPr>
          <w:color w:val="080707"/>
          <w:sz w:val="21"/>
          <w:szCs w:val="21"/>
          <w:highlight w:val="white"/>
        </w:rPr>
      </w:pPr>
      <w:r w:rsidDel="00000000" w:rsidR="00000000" w:rsidRPr="00000000">
        <w:rPr>
          <w:color w:val="080707"/>
          <w:sz w:val="21"/>
          <w:szCs w:val="21"/>
          <w:highlight w:val="white"/>
          <w:rtl w:val="0"/>
        </w:rPr>
        <w:t xml:space="preserve"> </w:t>
      </w:r>
    </w:p>
    <w:p w:rsidR="00000000" w:rsidDel="00000000" w:rsidP="00000000" w:rsidRDefault="00000000" w:rsidRPr="00000000" w14:paraId="0000001A">
      <w:pPr>
        <w:shd w:fill="ffffff" w:val="clear"/>
        <w:spacing w:after="180" w:lineRule="auto"/>
        <w:ind w:left="720" w:firstLine="0"/>
        <w:rPr>
          <w:color w:val="080707"/>
          <w:sz w:val="21"/>
          <w:szCs w:val="21"/>
          <w:highlight w:val="white"/>
        </w:rPr>
      </w:pPr>
      <w:r w:rsidDel="00000000" w:rsidR="00000000" w:rsidRPr="00000000">
        <w:rPr>
          <w:color w:val="080707"/>
          <w:sz w:val="21"/>
          <w:szCs w:val="21"/>
          <w:highlight w:val="white"/>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