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DB7B34" w:rsidP="0FEE133D" w:rsidRDefault="0FEE133D" w14:paraId="5E5787A5" w14:textId="2471565A">
      <w:pPr>
        <w:pStyle w:val="Heading1"/>
      </w:pPr>
      <w:r>
        <w:t>Flexibility Dimensions</w:t>
      </w:r>
    </w:p>
    <w:p w:rsidR="0FEE133D" w:rsidP="0FEE133D" w:rsidRDefault="0FEE133D" w14:paraId="60F0B0F3" w14:textId="41FA91B6">
      <w:r>
        <w:t>Options:</w:t>
      </w:r>
    </w:p>
    <w:p w:rsidR="0FEE133D" w:rsidP="0FEE133D" w:rsidRDefault="0FEE133D" w14:paraId="51BCB4AC" w14:textId="23DD89F3">
      <w:pPr>
        <w:pStyle w:val="ListParagraph"/>
        <w:numPr>
          <w:ilvl w:val="0"/>
          <w:numId w:val="5"/>
        </w:numPr>
      </w:pPr>
      <w:r>
        <w:t>Supply:</w:t>
      </w:r>
    </w:p>
    <w:p w:rsidR="0FEE133D" w:rsidP="0FEE133D" w:rsidRDefault="0FEE133D" w14:paraId="0CA414C8" w14:textId="5DEE585E">
      <w:pPr>
        <w:pStyle w:val="ListParagraph"/>
        <w:numPr>
          <w:ilvl w:val="1"/>
          <w:numId w:val="5"/>
        </w:numPr>
      </w:pPr>
      <w:r>
        <w:t>Ramping (up/down) rates</w:t>
      </w:r>
    </w:p>
    <w:p w:rsidR="0FEE133D" w:rsidP="0FEE133D" w:rsidRDefault="0FEE133D" w14:paraId="215C5585" w14:textId="22F8C73D">
      <w:pPr>
        <w:pStyle w:val="ListParagraph"/>
        <w:numPr>
          <w:ilvl w:val="1"/>
          <w:numId w:val="5"/>
        </w:numPr>
      </w:pPr>
      <w:r>
        <w:t>Start-up/Shut-down times</w:t>
      </w:r>
    </w:p>
    <w:p w:rsidR="00AC5CC8" w:rsidP="0FEE133D" w:rsidRDefault="00AC5CC8" w14:paraId="3CE40E93" w14:textId="196E57A8">
      <w:pPr>
        <w:pStyle w:val="ListParagraph"/>
        <w:numPr>
          <w:ilvl w:val="1"/>
          <w:numId w:val="5"/>
        </w:numPr>
      </w:pPr>
      <w:r>
        <w:t>Min/Max up/down times</w:t>
      </w:r>
    </w:p>
    <w:p w:rsidR="0FEE133D" w:rsidP="0FEE133D" w:rsidRDefault="0FEE133D" w14:paraId="1EBD21BB" w14:textId="541A8F23">
      <w:pPr>
        <w:pStyle w:val="ListParagraph"/>
        <w:numPr>
          <w:ilvl w:val="1"/>
          <w:numId w:val="5"/>
        </w:numPr>
      </w:pPr>
      <w:r>
        <w:t>Max/Minimum capacity</w:t>
      </w:r>
    </w:p>
    <w:p w:rsidR="001A7DC7" w:rsidP="001A7DC7" w:rsidRDefault="001A7DC7" w14:paraId="5E00AE12" w14:textId="324459D9">
      <w:pPr>
        <w:pStyle w:val="ListParagraph"/>
        <w:numPr>
          <w:ilvl w:val="1"/>
          <w:numId w:val="5"/>
        </w:numPr>
      </w:pPr>
      <w:r>
        <w:t>Inertia</w:t>
      </w:r>
    </w:p>
    <w:p w:rsidR="0FEE133D" w:rsidP="0FEE133D" w:rsidRDefault="0FEE133D" w14:paraId="03A97098" w14:textId="0617FBAF">
      <w:pPr>
        <w:pStyle w:val="ListParagraph"/>
        <w:numPr>
          <w:ilvl w:val="0"/>
          <w:numId w:val="5"/>
        </w:numPr>
      </w:pPr>
      <w:r>
        <w:t>Demand:</w:t>
      </w:r>
    </w:p>
    <w:p w:rsidR="0FEE133D" w:rsidP="0FEE133D" w:rsidRDefault="0FEE133D" w14:paraId="69F3F926" w14:textId="797ECD43">
      <w:pPr>
        <w:pStyle w:val="ListParagraph"/>
        <w:numPr>
          <w:ilvl w:val="1"/>
          <w:numId w:val="5"/>
        </w:numPr>
      </w:pPr>
      <w:r>
        <w:t>Demand response</w:t>
      </w:r>
    </w:p>
    <w:p w:rsidR="0FEE133D" w:rsidP="0FEE133D" w:rsidRDefault="0FEE133D" w14:paraId="22DA52BF" w14:textId="5AE19ABD">
      <w:pPr>
        <w:pStyle w:val="ListParagraph"/>
        <w:numPr>
          <w:ilvl w:val="2"/>
          <w:numId w:val="5"/>
        </w:numPr>
      </w:pPr>
      <w:r>
        <w:t>Residential</w:t>
      </w:r>
    </w:p>
    <w:p w:rsidR="0FEE133D" w:rsidP="0FEE133D" w:rsidRDefault="0FEE133D" w14:paraId="52FFFCE5" w14:textId="6350B50A">
      <w:pPr>
        <w:pStyle w:val="ListParagraph"/>
        <w:numPr>
          <w:ilvl w:val="2"/>
          <w:numId w:val="5"/>
        </w:numPr>
      </w:pPr>
      <w:r>
        <w:t>Commercial</w:t>
      </w:r>
    </w:p>
    <w:p w:rsidR="0FEE133D" w:rsidP="0FEE133D" w:rsidRDefault="0FEE133D" w14:paraId="28B9754D" w14:textId="4AB53B0B">
      <w:pPr>
        <w:pStyle w:val="ListParagraph"/>
        <w:numPr>
          <w:ilvl w:val="2"/>
          <w:numId w:val="5"/>
        </w:numPr>
      </w:pPr>
      <w:r>
        <w:t>Industrial</w:t>
      </w:r>
    </w:p>
    <w:p w:rsidR="0FEE133D" w:rsidP="0FEE133D" w:rsidRDefault="0FEE133D" w14:paraId="448136FE" w14:textId="101A5DAA">
      <w:pPr>
        <w:pStyle w:val="ListParagraph"/>
        <w:numPr>
          <w:ilvl w:val="0"/>
          <w:numId w:val="5"/>
        </w:numPr>
      </w:pPr>
      <w:r>
        <w:t>Network:</w:t>
      </w:r>
    </w:p>
    <w:p w:rsidR="0FEE133D" w:rsidP="0FEE133D" w:rsidRDefault="0FEE133D" w14:paraId="4EA44DC2" w14:textId="5E163E4D">
      <w:pPr>
        <w:pStyle w:val="ListParagraph"/>
        <w:numPr>
          <w:ilvl w:val="1"/>
          <w:numId w:val="5"/>
        </w:numPr>
      </w:pPr>
      <w:r>
        <w:t>Transmission</w:t>
      </w:r>
    </w:p>
    <w:p w:rsidR="0FEE133D" w:rsidP="0FEE133D" w:rsidRDefault="0FEE133D" w14:paraId="030E6731" w14:textId="479236F7">
      <w:pPr>
        <w:pStyle w:val="ListParagraph"/>
        <w:numPr>
          <w:ilvl w:val="1"/>
          <w:numId w:val="5"/>
        </w:numPr>
      </w:pPr>
      <w:r>
        <w:t>Distribution</w:t>
      </w:r>
    </w:p>
    <w:p w:rsidR="0FEE133D" w:rsidP="0FEE133D" w:rsidRDefault="0FEE133D" w14:paraId="1ACBA256" w14:textId="78A029FA">
      <w:pPr>
        <w:pStyle w:val="ListParagraph"/>
        <w:numPr>
          <w:ilvl w:val="0"/>
          <w:numId w:val="5"/>
        </w:numPr>
      </w:pPr>
      <w:r>
        <w:t>Storage:</w:t>
      </w:r>
    </w:p>
    <w:p w:rsidR="0FEE133D" w:rsidP="0FEE133D" w:rsidRDefault="0FEE133D" w14:paraId="3B0A017D" w14:textId="63995960">
      <w:pPr>
        <w:pStyle w:val="ListParagraph"/>
        <w:numPr>
          <w:ilvl w:val="1"/>
          <w:numId w:val="5"/>
        </w:numPr>
      </w:pPr>
      <w:r>
        <w:t>Batteries</w:t>
      </w:r>
    </w:p>
    <w:p w:rsidR="0FEE133D" w:rsidP="0FEE133D" w:rsidRDefault="0FEE133D" w14:paraId="24B3FA22" w14:textId="6812D612">
      <w:pPr>
        <w:pStyle w:val="ListParagraph"/>
        <w:numPr>
          <w:ilvl w:val="1"/>
          <w:numId w:val="5"/>
        </w:numPr>
      </w:pPr>
      <w:r>
        <w:t>Pumped Hydro Storage (PHS)</w:t>
      </w:r>
    </w:p>
    <w:p w:rsidR="0FEE133D" w:rsidP="0FEE133D" w:rsidRDefault="0FEE133D" w14:paraId="37F437E2" w14:textId="2110A022">
      <w:pPr>
        <w:pStyle w:val="ListParagraph"/>
        <w:numPr>
          <w:ilvl w:val="1"/>
          <w:numId w:val="5"/>
        </w:numPr>
      </w:pPr>
      <w:r>
        <w:t>Hydrogen</w:t>
      </w:r>
    </w:p>
    <w:p w:rsidR="0FEE133D" w:rsidP="0FEE133D" w:rsidRDefault="0FEE133D" w14:paraId="601EA157" w14:textId="4589FD78">
      <w:pPr>
        <w:pStyle w:val="ListParagraph"/>
        <w:numPr>
          <w:ilvl w:val="1"/>
          <w:numId w:val="5"/>
        </w:numPr>
      </w:pPr>
      <w:r>
        <w:t>Compressed Air</w:t>
      </w:r>
    </w:p>
    <w:p w:rsidR="0FEE133D" w:rsidP="0FEE133D" w:rsidRDefault="0FEE133D" w14:paraId="02F23F96" w14:textId="57CF9A02">
      <w:pPr>
        <w:pStyle w:val="ListParagraph"/>
        <w:numPr>
          <w:ilvl w:val="1"/>
          <w:numId w:val="5"/>
        </w:numPr>
      </w:pPr>
      <w:r>
        <w:t>Flywheel</w:t>
      </w:r>
    </w:p>
    <w:p w:rsidR="0FEE133D" w:rsidP="0FEE133D" w:rsidRDefault="0FEE133D" w14:paraId="5327D2FD" w14:textId="1AE081A5">
      <w:pPr>
        <w:pStyle w:val="ListParagraph"/>
        <w:numPr>
          <w:ilvl w:val="0"/>
          <w:numId w:val="5"/>
        </w:numPr>
      </w:pPr>
      <w:r>
        <w:t>Sector Coupling:</w:t>
      </w:r>
    </w:p>
    <w:p w:rsidR="0FEE133D" w:rsidP="0FEE133D" w:rsidRDefault="0FEE133D" w14:paraId="1976556D" w14:textId="5D680791">
      <w:pPr>
        <w:pStyle w:val="ListParagraph"/>
        <w:numPr>
          <w:ilvl w:val="1"/>
          <w:numId w:val="5"/>
        </w:numPr>
      </w:pPr>
      <w:r>
        <w:t>Heating</w:t>
      </w:r>
    </w:p>
    <w:p w:rsidR="0FEE133D" w:rsidP="0FEE133D" w:rsidRDefault="0FEE133D" w14:paraId="0D8539D8" w14:textId="64EE4FEB">
      <w:pPr>
        <w:pStyle w:val="ListParagraph"/>
        <w:numPr>
          <w:ilvl w:val="1"/>
          <w:numId w:val="5"/>
        </w:numPr>
      </w:pPr>
      <w:r>
        <w:t>Transport</w:t>
      </w:r>
    </w:p>
    <w:p w:rsidR="0FEE133D" w:rsidP="0FEE133D" w:rsidRDefault="0FEE133D" w14:paraId="4C429F0B" w14:textId="2CAE5564">
      <w:r>
        <w:t>Mechanisms:</w:t>
      </w:r>
    </w:p>
    <w:p w:rsidR="0FEE133D" w:rsidP="0FEE133D" w:rsidRDefault="0FEE133D" w14:paraId="1436CDC9" w14:textId="06366940">
      <w:pPr>
        <w:pStyle w:val="ListParagraph"/>
        <w:numPr>
          <w:ilvl w:val="0"/>
          <w:numId w:val="4"/>
        </w:numPr>
      </w:pPr>
      <w:r>
        <w:t>Operating strategies:</w:t>
      </w:r>
    </w:p>
    <w:p w:rsidR="0FEE133D" w:rsidP="0FEE133D" w:rsidRDefault="0FEE133D" w14:paraId="35AEB5A0" w14:textId="7E425131">
      <w:pPr>
        <w:pStyle w:val="ListParagraph"/>
        <w:numPr>
          <w:ilvl w:val="1"/>
          <w:numId w:val="4"/>
        </w:numPr>
      </w:pPr>
      <w:r>
        <w:t>Strategy</w:t>
      </w:r>
    </w:p>
    <w:p w:rsidR="0FEE133D" w:rsidP="0FEE133D" w:rsidRDefault="0FEE133D" w14:paraId="015B78D8" w14:textId="180D41F1">
      <w:pPr>
        <w:pStyle w:val="ListParagraph"/>
        <w:numPr>
          <w:ilvl w:val="1"/>
          <w:numId w:val="4"/>
        </w:numPr>
      </w:pPr>
      <w:r>
        <w:t>Forecasting</w:t>
      </w:r>
    </w:p>
    <w:p w:rsidR="0FEE133D" w:rsidP="0FEE133D" w:rsidRDefault="0FEE133D" w14:paraId="6D737069" w14:textId="2EE1F128">
      <w:pPr>
        <w:pStyle w:val="ListParagraph"/>
        <w:numPr>
          <w:ilvl w:val="1"/>
          <w:numId w:val="4"/>
        </w:numPr>
      </w:pPr>
      <w:r>
        <w:t>Aggregation</w:t>
      </w:r>
    </w:p>
    <w:p w:rsidR="0FEE133D" w:rsidP="0FEE133D" w:rsidRDefault="0FEE133D" w14:paraId="04AA8016" w14:textId="2F378363">
      <w:pPr>
        <w:pStyle w:val="ListParagraph"/>
        <w:numPr>
          <w:ilvl w:val="0"/>
          <w:numId w:val="4"/>
        </w:numPr>
      </w:pPr>
      <w:r>
        <w:t>Economics/Market:</w:t>
      </w:r>
    </w:p>
    <w:p w:rsidR="0FEE133D" w:rsidP="0FEE133D" w:rsidRDefault="0FEE133D" w14:paraId="5FF79485" w14:textId="6ED615D5">
      <w:pPr>
        <w:pStyle w:val="ListParagraph"/>
        <w:numPr>
          <w:ilvl w:val="1"/>
          <w:numId w:val="4"/>
        </w:numPr>
      </w:pPr>
      <w:r>
        <w:t>Regulated</w:t>
      </w:r>
    </w:p>
    <w:p w:rsidR="0FEE133D" w:rsidP="0FEE133D" w:rsidRDefault="0FEE133D" w14:paraId="0AA8CE39" w14:textId="1BCE19DD">
      <w:pPr>
        <w:pStyle w:val="ListParagraph"/>
        <w:numPr>
          <w:ilvl w:val="1"/>
          <w:numId w:val="4"/>
        </w:numPr>
      </w:pPr>
      <w:r>
        <w:t>Deregulated</w:t>
      </w:r>
    </w:p>
    <w:p w:rsidR="0FEE133D" w:rsidP="32BF213F" w:rsidRDefault="0FEE133D" w14:paraId="3C64C14D" w14:textId="63381C0E">
      <w:pPr>
        <w:pStyle w:val="ListParagraph"/>
        <w:numPr>
          <w:ilvl w:val="0"/>
          <w:numId w:val="4"/>
        </w:numPr>
      </w:pPr>
      <w:r>
        <w:t>Social:</w:t>
      </w:r>
    </w:p>
    <w:p w:rsidR="501E5D75" w:rsidP="69BC9882" w:rsidRDefault="501E5D75" w14:paraId="7F35A346" w14:textId="2572E00A">
      <w:pPr>
        <w:pStyle w:val="Heading1"/>
      </w:pPr>
      <w:r>
        <w:t>Methods</w:t>
      </w:r>
    </w:p>
    <w:p w:rsidR="002A05DA" w:rsidP="69BC9882" w:rsidRDefault="0FEE133D" w14:paraId="487B214D" w14:textId="2B80D9B8">
      <w:pPr>
        <w:pStyle w:val="Heading1"/>
      </w:pPr>
      <w:r>
        <w:t>Flexibility Metrics</w:t>
      </w:r>
    </w:p>
    <w:p w:rsidR="002A05DA" w:rsidP="00551AAC" w:rsidRDefault="002A05DA" w14:paraId="027029F8" w14:textId="39084B7A">
      <w:pPr>
        <w:pStyle w:val="Heading2"/>
      </w:pPr>
      <w:r>
        <w:t xml:space="preserve">Reserve sizing </w:t>
      </w:r>
      <w:r>
        <w:fldChar w:fldCharType="begin"/>
      </w:r>
      <w:r w:rsidR="002D52A1">
        <w:instrText xml:space="preserve"> ADDIN ZOTERO_ITEM CSL_CITATION {"citationID":"meAPu6jD","properties":{"formattedCitation":"[1]","plainCitation":"[1]","noteIndex":0},"citationItems":[{"id":3824,"uris":["http://zotero.org/users/9057300/items/GEYRT83V"],"itemData":{"id":3824,"type":"article-journal","abstract":"A method for studying the effect of wind power on power system reserve margins, need of extra resources, etc. is presented. A conventional model for short-term operation planning for a hydrothermal power system is supplemented with a wind power model. The wind power model includes the forecast of total wind power generation and the uncertainty of the forecast. The conventional hydro-thermal model is extended to take into account load forecast uncertainty and reserve margins of the generation units. The requirements of instantaneous, fast, and slow reserves, depending on possible forced outages of thermal units and uncertain load and wind speed forecasts etc., are calculated together with the available capacities of the corresponding reserve type. The results include an estimation of whether there is a deficit or excess of instantaneous, fast, or slow reserves during each hour of the planning period. A numerical example shows an application of the method to the Swedish power system.&lt;&gt;","container-title":"IEEE Transactions on Power Systems","DOI":"10.1109/59.260826","ISSN":"1558-0679","issue":"2","note":"event-title: IEEE Transactions on Power Systems","page":"564-571","source":"IEEE Xplore","title":"Reserve margin planning in a wind-hydro-thermal power system","volume":"8","author":[{"family":"Soder","given":"L."}],"issued":{"date-parts":[["1993",5]]}}}],"schema":"https://github.com/citation-style-language/schema/raw/master/csl-citation.json"} </w:instrText>
      </w:r>
      <w:r>
        <w:fldChar w:fldCharType="separate"/>
      </w:r>
      <w:r w:rsidRPr="002A05DA">
        <w:rPr>
          <w:rFonts w:ascii="Calibri" w:hAnsi="Calibri" w:cs="Calibri"/>
        </w:rPr>
        <w:t>[1]</w:t>
      </w:r>
      <w:r>
        <w:fldChar w:fldCharType="end"/>
      </w:r>
      <w:r>
        <w:t>:</w:t>
      </w:r>
    </w:p>
    <w:p w:rsidR="000E783A" w:rsidP="000E783A" w:rsidRDefault="002A05DA" w14:paraId="7214C273" w14:textId="592129A7">
      <w:pPr>
        <w:pStyle w:val="ListParagraph"/>
        <w:numPr>
          <w:ilvl w:val="0"/>
          <w:numId w:val="8"/>
        </w:numPr>
      </w:pPr>
      <w:r w:rsidRPr="002A05DA">
        <w:t xml:space="preserve">Paper </w:t>
      </w:r>
      <w:r>
        <w:t>presents an old method using forecasting errors of load and variable generation to create distributions which can be used to select a percentile which defines reserve sizing.</w:t>
      </w:r>
    </w:p>
    <w:p w:rsidR="0FEE133D" w:rsidP="00551AAC" w:rsidRDefault="0FEE133D" w14:paraId="541576D1" w14:textId="3D58E489">
      <w:pPr>
        <w:pStyle w:val="Heading2"/>
      </w:pPr>
      <w:r w:rsidRPr="00657859">
        <w:t>Loss of Load Expectation (LOLE) (probabilistic metric)</w:t>
      </w:r>
      <w:r w:rsidR="009D58B1">
        <w:t xml:space="preserve"> </w:t>
      </w:r>
      <w:r w:rsidR="009D58B1">
        <w:fldChar w:fldCharType="begin"/>
      </w:r>
      <w:r w:rsidR="002A05DA">
        <w:instrText xml:space="preserve"> ADDIN ZOTERO_ITEM CSL_CITATION {"citationID":"JmlPbTJm","properties":{"formattedCitation":"[2]","plainCitation":"[2]","noteIndex":0},"citationItems":[{"id":3758,"uris":["http://zotero.org/users/9057300/items/3738V5V6"],"itemData":{"id":3758,"type":"book","call-number":"TK1010 .B55 1996","edition":"2nd ed","event-place":"New York","ISBN":"978-0-306-45259-8","language":"en","number-of-pages":"514","publisher":"Plenum Press","publisher-place":"New York","source":"Library of Congress ISBN","title":"Reliability evaluation of power systems","author":[{"family":"Billinton","given":"Roy"},{"family":"Allan","given":"Ronald N."}],"issued":{"date-parts":[["1996"]]}}}],"schema":"https://github.com/citation-style-language/schema/raw/master/csl-citation.json"} </w:instrText>
      </w:r>
      <w:r w:rsidR="009D58B1">
        <w:fldChar w:fldCharType="separate"/>
      </w:r>
      <w:r w:rsidRPr="002A05DA" w:rsidR="002A05DA">
        <w:rPr>
          <w:rFonts w:ascii="Calibri" w:hAnsi="Calibri" w:cs="Calibri"/>
        </w:rPr>
        <w:t>[2]</w:t>
      </w:r>
      <w:r w:rsidR="009D58B1">
        <w:fldChar w:fldCharType="end"/>
      </w:r>
      <w:r>
        <w:t>:</w:t>
      </w:r>
    </w:p>
    <w:p w:rsidR="00EC5396" w:rsidP="0026124F" w:rsidRDefault="32BF213F" w14:paraId="769F7D11" w14:textId="77777777">
      <w:pPr>
        <w:pStyle w:val="ListParagraph"/>
        <w:numPr>
          <w:ilvl w:val="0"/>
          <w:numId w:val="3"/>
        </w:numPr>
      </w:pPr>
      <w:r>
        <w:t>Can be used to set the capacity margin in planning studies.</w:t>
      </w:r>
    </w:p>
    <w:p w:rsidRPr="00EC5396" w:rsidR="0026124F" w:rsidP="0026124F" w:rsidRDefault="0026124F" w14:paraId="4D6EDB68" w14:textId="2EF13588">
      <w:pPr>
        <w:pStyle w:val="ListParagraph"/>
        <w:numPr>
          <w:ilvl w:val="0"/>
          <w:numId w:val="3"/>
        </w:numPr>
      </w:pPr>
      <m:oMath>
        <m:r>
          <w:rPr>
            <w:rFonts w:ascii="Cambria Math" w:hAnsi="Cambria Math"/>
          </w:rPr>
          <m:t>LOLE=</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r>
                      <m:rPr>
                        <m:sty m:val="p"/>
                      </m:rPr>
                      <w:rPr>
                        <w:rFonts w:ascii="Cambria Math" w:hAnsi="Cambria Math"/>
                      </w:rPr>
                      <m:t>LL≥</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e>
                </m:d>
              </m:e>
            </m:func>
          </m:e>
        </m:nary>
      </m:oMath>
    </w:p>
    <w:p w:rsidR="00EC5396" w:rsidP="00EC5396" w:rsidRDefault="00300CA2" w14:paraId="52F9CD81" w14:textId="5A5AE53C">
      <w:pPr>
        <w:pStyle w:val="ListParagraph"/>
        <w:numPr>
          <w:ilvl w:val="0"/>
          <w:numId w:val="6"/>
        </w:numPr>
        <w:rPr>
          <w:rFonts w:eastAsiaTheme="minorEastAsia"/>
        </w:rPr>
      </w:pPr>
      <m:oMath>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i</m:t>
            </m:r>
          </m:sub>
        </m:sSub>
        <m:r>
          <w:rPr>
            <w:rFonts w:ascii="Cambria Math" w:hAnsi="Cambria Math" w:eastAsiaTheme="minorEastAsia"/>
          </w:rPr>
          <m:t xml:space="preserve"> </m:t>
        </m:r>
        <m:r>
          <w:rPr>
            <w:rFonts w:ascii="Cambria Math" w:hAnsi="Cambria Math" w:eastAsiaTheme="minorEastAsia"/>
          </w:rPr>
          <m:t>available</m:t>
        </m:r>
        <m:r>
          <w:rPr>
            <w:rFonts w:ascii="Cambria Math" w:hAnsi="Cambria Math" w:eastAsiaTheme="minorEastAsia"/>
          </w:rPr>
          <m:t xml:space="preserve"> </m:t>
        </m:r>
        <m:r>
          <w:rPr>
            <w:rFonts w:ascii="Cambria Math" w:hAnsi="Cambria Math" w:eastAsiaTheme="minorEastAsia"/>
          </w:rPr>
          <m:t>capacity</m:t>
        </m:r>
      </m:oMath>
    </w:p>
    <w:p w:rsidR="00EC5396" w:rsidP="00EC5396" w:rsidRDefault="00300CA2" w14:paraId="32303D7A" w14:textId="2B6ECFCE">
      <w:pPr>
        <w:pStyle w:val="ListParagraph"/>
        <w:numPr>
          <w:ilvl w:val="0"/>
          <w:numId w:val="6"/>
        </w:numPr>
        <w:rPr>
          <w:rFonts w:eastAsiaTheme="minorEastAsia"/>
        </w:rPr>
      </w:pPr>
      <m:oMath>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i</m:t>
            </m:r>
          </m:sub>
        </m:sSub>
        <m:r>
          <w:rPr>
            <w:rFonts w:ascii="Cambria Math" w:hAnsi="Cambria Math" w:eastAsiaTheme="minorEastAsia"/>
          </w:rPr>
          <m:t xml:space="preserve"> </m:t>
        </m:r>
        <m:r>
          <w:rPr>
            <w:rFonts w:ascii="Cambria Math" w:hAnsi="Cambria Math" w:eastAsiaTheme="minorEastAsia"/>
          </w:rPr>
          <m:t>Forecasted</m:t>
        </m:r>
        <m:r>
          <w:rPr>
            <w:rFonts w:ascii="Cambria Math" w:hAnsi="Cambria Math" w:eastAsiaTheme="minorEastAsia"/>
          </w:rPr>
          <m:t xml:space="preserve"> </m:t>
        </m:r>
        <m:r>
          <w:rPr>
            <w:rFonts w:ascii="Cambria Math" w:hAnsi="Cambria Math" w:eastAsiaTheme="minorEastAsia"/>
          </w:rPr>
          <m:t>peak</m:t>
        </m:r>
        <m:r>
          <w:rPr>
            <w:rFonts w:ascii="Cambria Math" w:hAnsi="Cambria Math" w:eastAsiaTheme="minorEastAsia"/>
          </w:rPr>
          <m:t xml:space="preserve"> </m:t>
        </m:r>
        <m:r>
          <w:rPr>
            <w:rFonts w:ascii="Cambria Math" w:hAnsi="Cambria Math" w:eastAsiaTheme="minorEastAsia"/>
          </w:rPr>
          <m:t>load</m:t>
        </m:r>
        <m:r>
          <w:rPr>
            <w:rFonts w:ascii="Cambria Math" w:hAnsi="Cambria Math" w:eastAsiaTheme="minorEastAsia"/>
          </w:rPr>
          <m:t xml:space="preserve"> </m:t>
        </m:r>
        <m:r>
          <w:rPr>
            <w:rFonts w:ascii="Cambria Math" w:hAnsi="Cambria Math" w:eastAsiaTheme="minorEastAsia"/>
          </w:rPr>
          <m:t>in</m:t>
        </m:r>
        <m:r>
          <w:rPr>
            <w:rFonts w:ascii="Cambria Math" w:hAnsi="Cambria Math" w:eastAsiaTheme="minorEastAsia"/>
          </w:rPr>
          <m:t xml:space="preserve"> </m:t>
        </m:r>
        <m:r>
          <w:rPr>
            <w:rFonts w:ascii="Cambria Math" w:hAnsi="Cambria Math" w:eastAsiaTheme="minorEastAsia"/>
          </w:rPr>
          <m:t>day</m:t>
        </m:r>
        <m:r>
          <w:rPr>
            <w:rFonts w:ascii="Cambria Math" w:hAnsi="Cambria Math" w:eastAsiaTheme="minorEastAsia"/>
          </w:rPr>
          <m:t xml:space="preserve"> (</m:t>
        </m:r>
        <m:r>
          <w:rPr>
            <w:rFonts w:ascii="Cambria Math" w:hAnsi="Cambria Math" w:eastAsiaTheme="minorEastAsia"/>
          </w:rPr>
          <m:t>i</m:t>
        </m:r>
        <m:r>
          <w:rPr>
            <w:rFonts w:ascii="Cambria Math" w:hAnsi="Cambria Math" w:eastAsiaTheme="minorEastAsia"/>
          </w:rPr>
          <m:t>)</m:t>
        </m:r>
      </m:oMath>
    </w:p>
    <w:p w:rsidRPr="009818CB" w:rsidR="009818CB" w:rsidP="009818CB" w:rsidRDefault="009818CB" w14:paraId="5866886E" w14:textId="06637266">
      <w:pPr>
        <w:pStyle w:val="ListParagraph"/>
        <w:numPr>
          <w:ilvl w:val="0"/>
          <w:numId w:val="6"/>
        </w:numPr>
        <w:rPr>
          <w:rFonts w:eastAsiaTheme="minorEastAsia"/>
        </w:rPr>
      </w:pPr>
      <m:oMath>
        <m:r>
          <w:rPr>
            <w:rFonts w:ascii="Cambria Math" w:hAnsi="Cambria Math" w:eastAsiaTheme="minorEastAsia"/>
          </w:rPr>
          <m:t>N number of days in period</m:t>
        </m:r>
      </m:oMath>
    </w:p>
    <w:p w:rsidRPr="00EC5396" w:rsidR="00EC5396" w:rsidP="69BC9882" w:rsidRDefault="00300CA2" w14:paraId="6E3900A8" w14:textId="4B619FE8">
      <w:pPr>
        <w:pStyle w:val="ListParagraph"/>
        <w:numPr>
          <w:ilvl w:val="0"/>
          <w:numId w:val="6"/>
        </w:numPr>
        <w:rPr>
          <w:rFonts w:eastAsiaTheme="minorEastAsia"/>
        </w:rPr>
      </w:pPr>
      <m:oMath>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r>
                  <m:rPr>
                    <m:sty m:val="p"/>
                  </m:rPr>
                  <w:rPr>
                    <w:rFonts w:ascii="Cambria Math" w:hAnsi="Cambria Math"/>
                  </w:rPr>
                  <m:t>LL≥</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e>
            </m:d>
          </m:e>
        </m:func>
        <m:r>
          <w:rPr>
            <w:rFonts w:ascii="Cambria Math" w:hAnsi="Cambria Math"/>
          </w:rPr>
          <m:t xml:space="preserve"> </m:t>
        </m:r>
        <m:r>
          <w:rPr>
            <w:rFonts w:ascii="Cambria Math" w:hAnsi="Cambria Math"/>
          </w:rPr>
          <m:t>probability</m:t>
        </m:r>
        <m: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a</m:t>
        </m:r>
        <m:r>
          <w:rPr>
            <w:rFonts w:ascii="Cambria Math" w:hAnsi="Cambria Math"/>
          </w:rPr>
          <m:t xml:space="preserve"> </m:t>
        </m:r>
        <m:r>
          <w:rPr>
            <w:rFonts w:ascii="Cambria Math" w:hAnsi="Cambria Math"/>
          </w:rPr>
          <m:t>loss</m:t>
        </m:r>
        <m:r>
          <w:rPr>
            <w:rFonts w:ascii="Cambria Math" w:hAnsi="Cambria Math"/>
          </w:rPr>
          <m:t xml:space="preserve"> </m:t>
        </m:r>
        <m:r>
          <w:rPr>
            <w:rFonts w:ascii="Cambria Math" w:hAnsi="Cambria Math"/>
          </w:rPr>
          <m:t>load</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oMath>
    </w:p>
    <w:p w:rsidR="0FEE133D" w:rsidP="00551AAC" w:rsidRDefault="0FEE133D" w14:paraId="4A0AEEF1" w14:textId="4DE7417D">
      <w:pPr>
        <w:pStyle w:val="Heading2"/>
      </w:pPr>
      <w:r w:rsidRPr="00657859">
        <w:t>Loss of Largest Unit (LLU) (deterministic metric)</w:t>
      </w:r>
      <w:r w:rsidR="00657859">
        <w:t>:</w:t>
      </w:r>
    </w:p>
    <w:p w:rsidR="009818CB" w:rsidP="00B1509E" w:rsidRDefault="32BF213F" w14:paraId="3A66D1FC" w14:textId="1A16DC28">
      <w:pPr>
        <w:pStyle w:val="ListParagraph"/>
        <w:numPr>
          <w:ilvl w:val="0"/>
          <w:numId w:val="2"/>
        </w:numPr>
      </w:pPr>
      <w:r>
        <w:t>Can be used to set the capacity margin in planning studies.</w:t>
      </w:r>
    </w:p>
    <w:p w:rsidR="0FEE133D" w:rsidP="00551AAC" w:rsidRDefault="0FEE133D" w14:paraId="0A698B7F" w14:textId="41EC0D64">
      <w:pPr>
        <w:pStyle w:val="Heading2"/>
      </w:pPr>
      <w:r w:rsidRPr="00657859">
        <w:t>Expected Energy Not Served (EENS)</w:t>
      </w:r>
      <w:r>
        <w:t>:</w:t>
      </w:r>
    </w:p>
    <w:p w:rsidR="0FEE133D" w:rsidP="00551AAC" w:rsidRDefault="0FEE133D" w14:paraId="2547E87D" w14:textId="7A70DC82">
      <w:pPr>
        <w:pStyle w:val="Heading2"/>
      </w:pPr>
      <w:r w:rsidRPr="00657859">
        <w:t>Expected Unserved Energy (EUE)</w:t>
      </w:r>
      <w:r>
        <w:t>:</w:t>
      </w:r>
    </w:p>
    <w:p w:rsidR="0FEE133D" w:rsidP="00551AAC" w:rsidRDefault="0FEE133D" w14:paraId="5F5FBC4B" w14:textId="43465BE4">
      <w:pPr>
        <w:pStyle w:val="Heading2"/>
      </w:pPr>
      <w:r w:rsidRPr="00657859">
        <w:t>Insufficient Ramping Resource Expectation (IRRE)</w:t>
      </w:r>
      <w:r w:rsidR="00527841">
        <w:t xml:space="preserve"> </w:t>
      </w:r>
      <w:r w:rsidR="00527841">
        <w:fldChar w:fldCharType="begin"/>
      </w:r>
      <w:r w:rsidR="002D52A1">
        <w:instrText xml:space="preserve"> ADDIN ZOTERO_ITEM CSL_CITATION {"citationID":"cbQK7W7j","properties":{"formattedCitation":"[3]","plainCitation":"[3]","noteIndex":0},"citationItems":[{"id":3447,"uris":["http://zotero.org/users/9057300/items/3FH8RCSL"],"itemData":{"id":3447,"type":"article-journal","abstract":"As the penetration of variable renewable generation increases in power systems worldwide, planning for the effects of variability will become more important. Traditional capacity adequacy planning techniques have been supplemented with integration studies, which have been carried out in power systems with high targets for renewable generation. These have highlighted the increased variability that a system may experience in the future. As system generation planning techniques evolve with the challenge of integrating variable generation, the flexibility of a system to manage periods of high variability needs to be assessed. The insufficient ramping resource expectation (IRRE) metric is proposed to measure power system flexibility for use in long-term planning, and is derived from traditional generation adequacy metrics. Compared to existing generation adequacy metrics, flexibility assessment is more data intensive. A flexibility metric can identify the time intervals over which a system is most likely to face a shortage of flexible resources, and can measure the relative impact of changing operational policies and the addition of flexible resources. The flexibility of a test system with increasing penetrations of variable generation is assessed. The results highlight the time horizons of increased and decreased risk associated with the integration of VG.","container-title":"IEEE Transactions on Power Systems","DOI":"10.1109/TPWRS.2011.2177280","ISSN":"1558-0679","issue":"2","note":"event-title: IEEE Transactions on Power Systems","page":"922-931","source":"IEEE Xplore","title":"Evaluation of Power System Flexibility","volume":"27","author":[{"family":"Lannoye","given":"Eamonn"},{"family":"Flynn","given":"Damian"},{"family":"O'Malley","given":"Mark"}],"issued":{"date-parts":[["2012",5]]}}}],"schema":"https://github.com/citation-style-language/schema/raw/master/csl-citation.json"} </w:instrText>
      </w:r>
      <w:r w:rsidR="00527841">
        <w:fldChar w:fldCharType="separate"/>
      </w:r>
      <w:r w:rsidRPr="002A05DA" w:rsidR="002A05DA">
        <w:rPr>
          <w:rFonts w:ascii="Calibri" w:hAnsi="Calibri" w:cs="Calibri"/>
        </w:rPr>
        <w:t>[3]</w:t>
      </w:r>
      <w:r w:rsidR="00527841">
        <w:fldChar w:fldCharType="end"/>
      </w:r>
      <w:r>
        <w:t>:</w:t>
      </w:r>
    </w:p>
    <w:p w:rsidR="32BF213F" w:rsidP="32BF213F" w:rsidRDefault="32BF213F" w14:paraId="281418C1" w14:textId="75BB4275">
      <w:pPr>
        <w:pStyle w:val="ListParagraph"/>
        <w:numPr>
          <w:ilvl w:val="0"/>
          <w:numId w:val="1"/>
        </w:numPr>
      </w:pPr>
      <w:r>
        <w:t>Highlights time horizons of most risk. Provides insight into when there may be a lack of flexibility in the system.</w:t>
      </w:r>
    </w:p>
    <w:p w:rsidR="000225EE" w:rsidP="32BF213F" w:rsidRDefault="000225EE" w14:paraId="53B28BBF" w14:textId="6708FA33">
      <w:pPr>
        <w:pStyle w:val="ListParagraph"/>
        <w:numPr>
          <w:ilvl w:val="0"/>
          <w:numId w:val="1"/>
        </w:numPr>
      </w:pPr>
      <w:r>
        <w:t>Probabilistic metric</w:t>
      </w:r>
    </w:p>
    <w:p w:rsidRPr="007625BE" w:rsidR="00B427D9" w:rsidP="007625BE" w:rsidRDefault="00A47C93" w14:paraId="57361766" w14:textId="52463A6B">
      <w:pPr>
        <w:pStyle w:val="ListParagraph"/>
        <w:numPr>
          <w:ilvl w:val="0"/>
          <w:numId w:val="1"/>
        </w:numPr>
        <w:rPr>
          <w:rFonts w:eastAsiaTheme="minorEastAsia"/>
        </w:rPr>
      </w:pPr>
      <m:oMath>
        <m:r>
          <w:rPr>
            <w:rFonts w:ascii="Cambria Math" w:hAnsi="Cambria Math"/>
          </w:rPr>
          <m:t>IRRE=</m:t>
        </m:r>
        <m:nary>
          <m:naryPr>
            <m:chr m:val="∑"/>
            <m:limLoc m:val="undOvr"/>
            <m:supHide m:val="1"/>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sub>
          <m:sup/>
          <m:e>
            <m:r>
              <w:rPr>
                <w:rFonts w:ascii="Cambria Math" w:hAnsi="Cambria Math"/>
              </w:rPr>
              <m:t>IRR</m:t>
            </m:r>
            <m:sSub>
              <m:sSubPr>
                <m:ctrlPr>
                  <w:rPr>
                    <w:rFonts w:ascii="Cambria Math" w:hAnsi="Cambria Math"/>
                    <w:i/>
                  </w:rPr>
                </m:ctrlPr>
              </m:sSubPr>
              <m:e>
                <m:r>
                  <w:rPr>
                    <w:rFonts w:ascii="Cambria Math" w:hAnsi="Cambria Math"/>
                  </w:rPr>
                  <m:t>P</m:t>
                </m:r>
              </m:e>
              <m:sub>
                <m:r>
                  <w:rPr>
                    <w:rFonts w:ascii="Cambria Math" w:hAnsi="Cambria Math"/>
                  </w:rPr>
                  <m:t>t,i,+/-</m:t>
                </m:r>
              </m:sub>
            </m:sSub>
          </m:e>
        </m:nary>
      </m:oMath>
    </w:p>
    <w:p w:rsidRPr="007625BE" w:rsidR="00AC10F4" w:rsidP="007625BE" w:rsidRDefault="00AC10F4" w14:paraId="5357B44E" w14:textId="4955EEE8">
      <w:pPr>
        <w:pStyle w:val="ListParagraph"/>
        <w:numPr>
          <w:ilvl w:val="0"/>
          <w:numId w:val="1"/>
        </w:numPr>
        <w:rPr>
          <w:rFonts w:eastAsiaTheme="minorEastAsia"/>
        </w:rPr>
      </w:pPr>
      <m:oMath>
        <m:r>
          <w:rPr>
            <w:rFonts w:ascii="Cambria Math" w:hAnsi="Cambria Math"/>
          </w:rPr>
          <m:t>IRR</m:t>
        </m:r>
        <m:sSub>
          <m:sSubPr>
            <m:ctrlPr>
              <w:rPr>
                <w:rFonts w:ascii="Cambria Math" w:hAnsi="Cambria Math"/>
                <w:i/>
              </w:rPr>
            </m:ctrlPr>
          </m:sSubPr>
          <m:e>
            <m:r>
              <w:rPr>
                <w:rFonts w:ascii="Cambria Math" w:hAnsi="Cambria Math"/>
              </w:rPr>
              <m:t>P</m:t>
            </m:r>
          </m:e>
          <m:sub>
            <m:r>
              <w:rPr>
                <w:rFonts w:ascii="Cambria Math" w:hAnsi="Cambria Math"/>
              </w:rPr>
              <m:t>t,i,+/-</m:t>
            </m:r>
          </m:sub>
        </m:sSub>
        <m:r>
          <w:rPr>
            <w:rFonts w:ascii="Cambria Math" w:hAnsi="Cambria Math"/>
          </w:rPr>
          <m:t>=AF</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(NL</m:t>
        </m:r>
        <m:sSub>
          <m:sSubPr>
            <m:ctrlPr>
              <w:rPr>
                <w:rFonts w:ascii="Cambria Math" w:hAnsi="Cambria Math"/>
                <w:i/>
              </w:rPr>
            </m:ctrlPr>
          </m:sSubPr>
          <m:e>
            <m:r>
              <w:rPr>
                <w:rFonts w:ascii="Cambria Math" w:hAnsi="Cambria Math"/>
              </w:rPr>
              <m:t>R</m:t>
            </m:r>
          </m:e>
          <m:sub>
            <m:r>
              <w:rPr>
                <w:rFonts w:ascii="Cambria Math" w:hAnsi="Cambria Math"/>
              </w:rPr>
              <m:t>x,i,+/-</m:t>
            </m:r>
          </m:sub>
        </m:sSub>
        <m:r>
          <w:rPr>
            <w:rFonts w:ascii="Cambria Math" w:hAnsi="Cambria Math"/>
          </w:rPr>
          <m:t>-1)</m:t>
        </m:r>
      </m:oMath>
    </w:p>
    <w:p w:rsidRPr="007625BE" w:rsidR="00D5724A" w:rsidP="007625BE" w:rsidRDefault="00F47CD0" w14:paraId="0D63CAFB" w14:textId="28A608D0">
      <w:pPr>
        <w:pStyle w:val="ListParagraph"/>
        <w:numPr>
          <w:ilvl w:val="0"/>
          <w:numId w:val="1"/>
        </w:numPr>
        <w:rPr>
          <w:rFonts w:eastAsiaTheme="minorEastAsia"/>
        </w:rPr>
      </w:pPr>
      <m:oMath>
        <m:r>
          <w:rPr>
            <w:rFonts w:ascii="Cambria Math" w:hAnsi="Cambria Math"/>
          </w:rPr>
          <m:t>Fle</m:t>
        </m:r>
        <m:sSub>
          <m:sSubPr>
            <m:ctrlPr>
              <w:rPr>
                <w:rFonts w:ascii="Cambria Math" w:hAnsi="Cambria Math"/>
                <w:i/>
              </w:rPr>
            </m:ctrlPr>
          </m:sSubPr>
          <m:e>
            <m:r>
              <w:rPr>
                <w:rFonts w:ascii="Cambria Math" w:hAnsi="Cambria Math"/>
              </w:rPr>
              <m:t>x</m:t>
            </m:r>
          </m:e>
          <m:sub>
            <m:r>
              <w:rPr>
                <w:rFonts w:ascii="Cambria Math" w:hAnsi="Cambria Math"/>
              </w:rPr>
              <m:t>t,system,i,+/-</m:t>
            </m:r>
          </m:sub>
        </m:sSub>
        <m:r>
          <w:rPr>
            <w:rFonts w:ascii="Cambria Math" w:hAnsi="Cambria Math"/>
          </w:rPr>
          <m:t>=</m:t>
        </m:r>
        <m:nary>
          <m:naryPr>
            <m:chr m:val="∑"/>
            <m:limLoc m:val="undOvr"/>
            <m:supHide m:val="1"/>
            <m:ctrlPr>
              <w:rPr>
                <w:rFonts w:ascii="Cambria Math" w:hAnsi="Cambria Math" w:eastAsiaTheme="minorEastAsia"/>
                <w:i/>
              </w:rPr>
            </m:ctrlPr>
          </m:naryPr>
          <m:sub>
            <m:r>
              <w:rPr>
                <w:rFonts w:ascii="Cambria Math" w:hAnsi="Cambria Math" w:eastAsiaTheme="minorEastAsia"/>
              </w:rPr>
              <m:t>∀u</m:t>
            </m:r>
          </m:sub>
          <m:sup/>
          <m:e>
            <m:r>
              <w:rPr>
                <w:rFonts w:ascii="Cambria Math" w:hAnsi="Cambria Math" w:eastAsiaTheme="minorEastAsia"/>
              </w:rPr>
              <m:t>Fle</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t,u,i,+/-</m:t>
                </m:r>
              </m:sub>
            </m:sSub>
          </m:e>
        </m:nary>
      </m:oMath>
    </w:p>
    <w:p w:rsidRPr="007625BE" w:rsidR="00C86EBF" w:rsidP="007625BE" w:rsidRDefault="00C86EBF" w14:paraId="78CEBD94" w14:textId="7987A088">
      <w:pPr>
        <w:pStyle w:val="ListParagraph"/>
        <w:numPr>
          <w:ilvl w:val="0"/>
          <w:numId w:val="1"/>
        </w:numPr>
        <w:rPr>
          <w:rFonts w:eastAsiaTheme="minorEastAsia"/>
        </w:rPr>
      </w:pPr>
      <m:oMath>
        <m:r>
          <w:rPr>
            <w:rFonts w:ascii="Cambria Math" w:hAnsi="Cambria Math"/>
          </w:rPr>
          <m:t>Fle</m:t>
        </m:r>
        <m:sSub>
          <m:sSubPr>
            <m:ctrlPr>
              <w:rPr>
                <w:rFonts w:ascii="Cambria Math" w:hAnsi="Cambria Math"/>
                <w:i/>
              </w:rPr>
            </m:ctrlPr>
          </m:sSubPr>
          <m:e>
            <m:r>
              <w:rPr>
                <w:rFonts w:ascii="Cambria Math" w:hAnsi="Cambria Math"/>
              </w:rPr>
              <m:t>x</m:t>
            </m:r>
          </m:e>
          <m:sub>
            <m:r>
              <w:rPr>
                <w:rFonts w:ascii="Cambria Math" w:hAnsi="Cambria Math"/>
              </w:rPr>
              <m:t>t,i,u,+</m:t>
            </m:r>
          </m:sub>
        </m:sSub>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u,+</m:t>
            </m:r>
          </m:sub>
        </m:sSub>
        <m:r>
          <w:rPr>
            <w:rFonts w:ascii="Cambria Math" w:hAnsi="Cambria Math"/>
          </w:rPr>
          <m:t>*</m:t>
        </m:r>
        <m:d>
          <m:dPr>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1-Onlin</m:t>
                </m:r>
                <m:sSub>
                  <m:sSubPr>
                    <m:ctrlPr>
                      <w:rPr>
                        <w:rFonts w:ascii="Cambria Math" w:hAnsi="Cambria Math"/>
                        <w:i/>
                      </w:rPr>
                    </m:ctrlPr>
                  </m:sSubPr>
                  <m:e>
                    <m:r>
                      <w:rPr>
                        <w:rFonts w:ascii="Cambria Math" w:hAnsi="Cambria Math"/>
                      </w:rPr>
                      <m:t>e</m:t>
                    </m:r>
                  </m:e>
                  <m:sub>
                    <m:r>
                      <w:rPr>
                        <w:rFonts w:ascii="Cambria Math" w:hAnsi="Cambria Math"/>
                      </w:rPr>
                      <m:t>t,u</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u</m:t>
                </m:r>
              </m:sub>
            </m:sSub>
          </m:e>
        </m:d>
      </m:oMath>
    </w:p>
    <w:p w:rsidRPr="007625BE" w:rsidR="00C86EBF" w:rsidP="007625BE" w:rsidRDefault="00C86EBF" w14:paraId="53A4A295" w14:textId="1D81AC13">
      <w:pPr>
        <w:pStyle w:val="ListParagraph"/>
        <w:numPr>
          <w:ilvl w:val="1"/>
          <w:numId w:val="1"/>
        </w:numPr>
        <w:rPr>
          <w:rFonts w:eastAsiaTheme="minorEastAsia"/>
        </w:rPr>
      </w:pPr>
      <m:oMath>
        <m:r>
          <w:rPr>
            <w:rFonts w:ascii="Cambria Math" w:hAnsi="Cambria Math" w:eastAsiaTheme="minorEastAsia"/>
          </w:rPr>
          <m:t>s.t.      Pro</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t,u</m:t>
            </m:r>
          </m:sub>
        </m:sSub>
        <m:r>
          <w:rPr>
            <w:rFonts w:ascii="Cambria Math" w:hAnsi="Cambria Math" w:eastAsiaTheme="minorEastAsia"/>
          </w:rPr>
          <m:t>+Fle</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t,u,i,+</m:t>
            </m:r>
          </m:sub>
        </m:sSub>
        <m:r>
          <w:rPr>
            <w:rFonts w:ascii="Cambria Math" w:hAnsi="Cambria Math" w:eastAsiaTheme="minorEastAsia"/>
          </w:rPr>
          <m:t>≤Ge</m:t>
        </m:r>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MAX,u</m:t>
            </m:r>
          </m:sub>
        </m:sSub>
      </m:oMath>
    </w:p>
    <w:p w:rsidRPr="007625BE" w:rsidR="00A37BE2" w:rsidP="007625BE" w:rsidRDefault="00A37BE2" w14:paraId="5EF89857" w14:textId="49BF8983">
      <w:pPr>
        <w:pStyle w:val="ListParagraph"/>
        <w:numPr>
          <w:ilvl w:val="1"/>
          <w:numId w:val="1"/>
        </w:numPr>
        <w:rPr>
          <w:rFonts w:eastAsiaTheme="minorEastAsia"/>
        </w:rPr>
      </w:pPr>
      <m:oMath>
        <m:r>
          <w:rPr>
            <w:rFonts w:ascii="Cambria Math" w:hAnsi="Cambria Math" w:eastAsiaTheme="minorEastAsia"/>
          </w:rPr>
          <m:t>Pro</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t,u</m:t>
            </m:r>
          </m:sub>
        </m:sSub>
        <m:r>
          <w:rPr>
            <w:rFonts w:ascii="Cambria Math" w:hAnsi="Cambria Math" w:eastAsiaTheme="minorEastAsia"/>
          </w:rPr>
          <m:t>+Fle</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t,u,i,+</m:t>
            </m:r>
          </m:sub>
        </m:sSub>
        <m:r>
          <m:rPr>
            <m:scr m:val="fraktur"/>
          </m:rPr>
          <w:rPr>
            <w:rFonts w:ascii="Cambria Math" w:hAnsi="Cambria Math" w:eastAsiaTheme="minorEastAsia"/>
          </w:rPr>
          <m:t>∈ R \</m:t>
        </m:r>
        <m:r>
          <m:rPr>
            <m:lit/>
          </m:rPr>
          <w:rPr>
            <w:rFonts w:ascii="Cambria Math" w:hAnsi="Cambria Math" w:eastAsiaTheme="minorEastAsia"/>
          </w:rPr>
          <m:t>(</m:t>
        </m:r>
        <m:r>
          <w:rPr>
            <w:rFonts w:ascii="Cambria Math" w:hAnsi="Cambria Math" w:eastAsiaTheme="minorEastAsia"/>
          </w:rPr>
          <m:t>0,Ge</m:t>
        </m:r>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MIN,u</m:t>
            </m:r>
          </m:sub>
        </m:sSub>
        <m:r>
          <w:rPr>
            <w:rFonts w:ascii="Cambria Math" w:hAnsi="Cambria Math" w:eastAsiaTheme="minorEastAsia"/>
          </w:rPr>
          <m:t>)</m:t>
        </m:r>
      </m:oMath>
    </w:p>
    <w:p w:rsidRPr="00C43B74" w:rsidR="007625BE" w:rsidP="007625BE" w:rsidRDefault="007625BE" w14:paraId="7093F455" w14:textId="0994FDB6">
      <w:pPr>
        <w:pStyle w:val="ListParagraph"/>
        <w:numPr>
          <w:ilvl w:val="0"/>
          <w:numId w:val="1"/>
        </w:numPr>
        <w:rPr>
          <w:rFonts w:eastAsiaTheme="minorEastAsia"/>
        </w:rPr>
      </w:pPr>
      <m:oMath>
        <m:r>
          <w:rPr>
            <w:rFonts w:ascii="Cambria Math" w:hAnsi="Cambria Math" w:eastAsiaTheme="minorEastAsia"/>
          </w:rPr>
          <m:t>Fle</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t,i,u,-</m:t>
            </m:r>
          </m:sub>
        </m:sSub>
        <m:r>
          <w:rPr>
            <w:rFonts w:ascii="Cambria Math" w:hAnsi="Cambria Math" w:eastAsiaTheme="minorEastAsia"/>
          </w:rPr>
          <m:t>=R</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u,-</m:t>
            </m:r>
          </m:sub>
        </m:sSub>
        <m:r>
          <w:rPr>
            <w:rFonts w:ascii="Cambria Math" w:hAnsi="Cambria Math" w:eastAsiaTheme="minorEastAsia"/>
          </w:rPr>
          <m:t>*i*Onlin</m:t>
        </m:r>
        <m:sSub>
          <m:sSubPr>
            <m:ctrlPr>
              <w:rPr>
                <w:rFonts w:ascii="Cambria Math" w:hAnsi="Cambria Math" w:eastAsiaTheme="minorEastAsia"/>
                <w:i/>
              </w:rPr>
            </m:ctrlPr>
          </m:sSubPr>
          <m:e>
            <m:r>
              <w:rPr>
                <w:rFonts w:ascii="Cambria Math" w:hAnsi="Cambria Math" w:eastAsiaTheme="minorEastAsia"/>
              </w:rPr>
              <m:t>e</m:t>
            </m:r>
          </m:e>
          <m:sub>
            <m:r>
              <w:rPr>
                <w:rFonts w:ascii="Cambria Math" w:hAnsi="Cambria Math" w:eastAsiaTheme="minorEastAsia"/>
              </w:rPr>
              <m:t>t,u</m:t>
            </m:r>
          </m:sub>
        </m:sSub>
      </m:oMath>
    </w:p>
    <w:p w:rsidRPr="007625BE" w:rsidR="00C43B74" w:rsidP="00C43B74" w:rsidRDefault="00C43B74" w14:paraId="132DF28E" w14:textId="4CB54095">
      <w:pPr>
        <w:pStyle w:val="ListParagraph"/>
        <w:numPr>
          <w:ilvl w:val="1"/>
          <w:numId w:val="1"/>
        </w:numPr>
        <w:rPr>
          <w:rFonts w:eastAsiaTheme="minorEastAsia"/>
        </w:rPr>
      </w:pPr>
      <m:oMath>
        <m:r>
          <w:rPr>
            <w:rFonts w:ascii="Cambria Math" w:hAnsi="Cambria Math" w:eastAsiaTheme="minorEastAsia"/>
          </w:rPr>
          <m:t>s.t.      Pro</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t,u</m:t>
            </m:r>
          </m:sub>
        </m:sSub>
        <m:r>
          <w:rPr>
            <w:rFonts w:ascii="Cambria Math" w:hAnsi="Cambria Math" w:eastAsiaTheme="minorEastAsia"/>
          </w:rPr>
          <m:t>-Fle</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t,u,i,+</m:t>
            </m:r>
          </m:sub>
        </m:sSub>
        <m:r>
          <w:rPr>
            <w:rFonts w:ascii="Cambria Math" w:hAnsi="Cambria Math" w:eastAsiaTheme="minorEastAsia"/>
          </w:rPr>
          <m:t>≤0</m:t>
        </m:r>
      </m:oMath>
    </w:p>
    <w:p w:rsidR="00C43B74" w:rsidP="00C43B74" w:rsidRDefault="00C43B74" w14:paraId="129C59CE" w14:textId="4B3D2739">
      <w:pPr>
        <w:pStyle w:val="ListParagraph"/>
        <w:numPr>
          <w:ilvl w:val="1"/>
          <w:numId w:val="1"/>
        </w:numPr>
        <w:rPr>
          <w:rFonts w:eastAsiaTheme="minorEastAsia"/>
        </w:rPr>
      </w:pPr>
      <m:oMath>
        <m:r>
          <w:rPr>
            <w:rFonts w:ascii="Cambria Math" w:hAnsi="Cambria Math" w:eastAsiaTheme="minorEastAsia"/>
          </w:rPr>
          <m:t>Pro</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t,u</m:t>
            </m:r>
          </m:sub>
        </m:sSub>
        <m:r>
          <w:rPr>
            <w:rFonts w:ascii="Cambria Math" w:hAnsi="Cambria Math" w:eastAsiaTheme="minorEastAsia"/>
          </w:rPr>
          <m:t>-Fle</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t,u,i,+</m:t>
            </m:r>
          </m:sub>
        </m:sSub>
        <m:r>
          <m:rPr>
            <m:scr m:val="fraktur"/>
          </m:rPr>
          <w:rPr>
            <w:rFonts w:ascii="Cambria Math" w:hAnsi="Cambria Math" w:eastAsiaTheme="minorEastAsia"/>
          </w:rPr>
          <m:t>∈ R \</m:t>
        </m:r>
        <m:r>
          <m:rPr>
            <m:lit/>
          </m:rPr>
          <w:rPr>
            <w:rFonts w:ascii="Cambria Math" w:hAnsi="Cambria Math" w:eastAsiaTheme="minorEastAsia"/>
          </w:rPr>
          <m:t>(</m:t>
        </m:r>
        <m:r>
          <w:rPr>
            <w:rFonts w:ascii="Cambria Math" w:hAnsi="Cambria Math" w:eastAsiaTheme="minorEastAsia"/>
          </w:rPr>
          <m:t>0,Ge</m:t>
        </m:r>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MIN,u</m:t>
            </m:r>
          </m:sub>
        </m:sSub>
        <m:r>
          <w:rPr>
            <w:rFonts w:ascii="Cambria Math" w:hAnsi="Cambria Math" w:eastAsiaTheme="minorEastAsia"/>
          </w:rPr>
          <m:t>)</m:t>
        </m:r>
      </m:oMath>
    </w:p>
    <w:p w:rsidR="000225EE" w:rsidP="00551AAC" w:rsidRDefault="000225EE" w14:paraId="49A9FDB0" w14:textId="52CF5596">
      <w:pPr>
        <w:pStyle w:val="Heading2"/>
        <w:rPr>
          <w:rFonts w:eastAsiaTheme="minorEastAsia"/>
        </w:rPr>
      </w:pPr>
      <w:r w:rsidRPr="000225EE">
        <w:rPr>
          <w:rFonts w:eastAsiaTheme="minorEastAsia"/>
        </w:rPr>
        <w:t>Periods of Flexibility Deficit (PFD)</w:t>
      </w:r>
      <w:r>
        <w:rPr>
          <w:rFonts w:eastAsiaTheme="minorEastAsia"/>
        </w:rPr>
        <w:t>:</w:t>
      </w:r>
    </w:p>
    <w:p w:rsidR="000225EE" w:rsidP="000225EE" w:rsidRDefault="000225EE" w14:paraId="38C65A79" w14:textId="69DEEA6A">
      <w:pPr>
        <w:pStyle w:val="ListParagraph"/>
        <w:numPr>
          <w:ilvl w:val="0"/>
          <w:numId w:val="7"/>
        </w:numPr>
        <w:rPr>
          <w:rFonts w:eastAsiaTheme="minorEastAsia"/>
        </w:rPr>
      </w:pPr>
      <w:r>
        <w:rPr>
          <w:rFonts w:eastAsiaTheme="minorEastAsia"/>
        </w:rPr>
        <w:t>Deterministic</w:t>
      </w:r>
    </w:p>
    <w:p w:rsidR="0092383C" w:rsidP="00551AAC" w:rsidRDefault="002D52A1" w14:paraId="028A19F4" w14:textId="17DC383E">
      <w:pPr>
        <w:pStyle w:val="Heading2"/>
        <w:rPr>
          <w:rFonts w:eastAsiaTheme="minorEastAsia"/>
        </w:rPr>
      </w:pPr>
      <w:r w:rsidRPr="002D52A1">
        <w:rPr>
          <w:rFonts w:eastAsiaTheme="minorEastAsia"/>
        </w:rPr>
        <w:t>Economic Carrying Capacity</w:t>
      </w:r>
      <w:r>
        <w:rPr>
          <w:rFonts w:eastAsiaTheme="minorEastAsia"/>
        </w:rPr>
        <w:t xml:space="preserve"> </w:t>
      </w:r>
      <w:r>
        <w:rPr>
          <w:rFonts w:eastAsiaTheme="minorEastAsia"/>
        </w:rPr>
        <w:fldChar w:fldCharType="begin"/>
      </w:r>
      <w:r>
        <w:rPr>
          <w:rFonts w:eastAsiaTheme="minorEastAsia"/>
        </w:rPr>
        <w:instrText xml:space="preserve"> ADDIN ZOTERO_ITEM CSL_CITATION {"citationID":"x2mjd57a","properties":{"formattedCitation":"[4]","plainCitation":"[4]","noteIndex":0},"citationItems":[{"id":4452,"uris":["http://zotero.org/users/9057300/items/3CHVG738"],"itemData":{"id":4452,"type":"article-journal","container-title":"Renewable Energy","language":"en","page":"125","source":"Zotero","title":"Impact of Flexibility Options on Grid Economic Carrying Capacity of Solar and Wind: Three Case Studies","author":[{"family":"Denholm","given":"Paul"},{"family":"Novacheck","given":"Joshua"},{"family":"Jorgenson","given":"Jennie"},{"family":"O'Connell","given":"Matthew"}],"issued":{"date-parts":[["2016"]]}}}],"schema":"https://github.com/citation-style-language/schema/raw/master/csl-citation.json"} </w:instrText>
      </w:r>
      <w:r>
        <w:rPr>
          <w:rFonts w:eastAsiaTheme="minorEastAsia"/>
        </w:rPr>
        <w:fldChar w:fldCharType="separate"/>
      </w:r>
      <w:r w:rsidRPr="002D52A1">
        <w:rPr>
          <w:rFonts w:ascii="Calibri" w:hAnsi="Calibri" w:cs="Calibri"/>
        </w:rPr>
        <w:t>[4]</w:t>
      </w:r>
      <w:r>
        <w:rPr>
          <w:rFonts w:eastAsiaTheme="minorEastAsia"/>
        </w:rPr>
        <w:fldChar w:fldCharType="end"/>
      </w:r>
      <w:r>
        <w:rPr>
          <w:rFonts w:eastAsiaTheme="minorEastAsia"/>
        </w:rPr>
        <w:t>:</w:t>
      </w:r>
    </w:p>
    <w:p w:rsidRPr="00551AAC" w:rsidR="0092383C" w:rsidP="00551AAC" w:rsidRDefault="001E4233" w14:paraId="2523632B" w14:textId="51FD32B2">
      <w:pPr>
        <w:pStyle w:val="Heading2"/>
      </w:pPr>
      <w:r w:rsidRPr="00551AAC">
        <w:t>Realizable Flexibility</w:t>
      </w:r>
      <w:r w:rsidRPr="00551AAC" w:rsidR="00B916E8">
        <w:t xml:space="preserve"> (RF)</w:t>
      </w:r>
      <w:r w:rsidRPr="00551AAC" w:rsidR="00294597">
        <w:t xml:space="preserve"> </w:t>
      </w:r>
      <w:r w:rsidRPr="00551AAC" w:rsidR="00294597">
        <w:fldChar w:fldCharType="begin"/>
      </w:r>
      <w:r w:rsidRPr="00551AAC" w:rsidR="002D52A1">
        <w:instrText xml:space="preserve"> ADDIN ZOTERO_ITEM CSL_CITATION {"citationID":"8ltjq2Gn","properties":{"formattedCitation":"[5]","plainCitation":"[5]","noteIndex":0},"citationItems":[{"id":3922,"uris":["http://zotero.org/users/9057300/items/7YKG2TH2"],"itemData":{"id":3922,"type":"article-journal","abstract":"Long-term transmission and generation planning face numerous challenges to accommodate the integration of a high penetration of variable generation (VG). System flexibility, or the ability of a system to meet changes in demand and VG production, is one such issue receiving much attention. This paper presents a methodology to assess the flexibility of a power system while explicitly considering the limitations of the transmission network. By determining only the flexibility available from resources which could be realized in real-time operation due to transmission constraints, a more realistic assessment of a system's flexibility can be made. The flexibility of the IEEE Reliability Test System is assessed using two metrics. Transmission is shown to have a significant effect on the availability of flexibility and the risk posed to the system by net load ramps. The impact is seen to be strongly dependent on the variability of the net load and on the distribution of online resources. A nonlinear relationship between the installed VG and system flexibility is found, with regions of significant inflexibility occurring at certain VG penetrations.","container-title":"IEEE Transactions on Power Systems","DOI":"10.1109/TPWRS.2014.2321793","ISSN":"1558-0679","issue":"1","note":"event-title: IEEE Transactions on Power Systems","page":"57-66","source":"IEEE Xplore","title":"Transmission, Variable Generation, and Power System Flexibility","volume":"30","author":[{"family":"Lannoye","given":"Eamonn"},{"family":"Flynn","given":"Damian"},{"family":"O'Malley","given":"Mark"}],"issued":{"date-parts":[["2015",1]]}}}],"schema":"https://github.com/citation-style-language/schema/raw/master/csl-citation.json"} </w:instrText>
      </w:r>
      <w:r w:rsidRPr="00551AAC" w:rsidR="00294597">
        <w:fldChar w:fldCharType="separate"/>
      </w:r>
      <w:r w:rsidRPr="00551AAC" w:rsidR="002D52A1">
        <w:rPr>
          <w:rFonts w:ascii="Calibri" w:hAnsi="Calibri" w:cs="Calibri"/>
        </w:rPr>
        <w:t>[5]</w:t>
      </w:r>
      <w:r w:rsidRPr="00551AAC" w:rsidR="00294597">
        <w:fldChar w:fldCharType="end"/>
      </w:r>
      <w:r w:rsidRPr="00551AAC">
        <w:t>:</w:t>
      </w:r>
    </w:p>
    <w:p w:rsidR="00AE0C19" w:rsidP="00294597" w:rsidRDefault="00AE0C19" w14:paraId="3DE2C575" w14:textId="17B78EF1">
      <w:pPr>
        <w:pStyle w:val="ListParagraph"/>
        <w:numPr>
          <w:ilvl w:val="0"/>
          <w:numId w:val="7"/>
        </w:numPr>
      </w:pPr>
      <w:r>
        <w:t>Network related..</w:t>
      </w:r>
    </w:p>
    <w:p w:rsidR="00294597" w:rsidP="00294597" w:rsidRDefault="00294597" w14:paraId="675380B5" w14:textId="76ED6C27">
      <w:pPr>
        <w:pStyle w:val="ListParagraph"/>
        <w:numPr>
          <w:ilvl w:val="0"/>
          <w:numId w:val="7"/>
        </w:numPr>
      </w:pPr>
      <w:r>
        <w:t xml:space="preserve">Solve an LP </w:t>
      </w:r>
      <w:r w:rsidR="00B916E8">
        <w:t xml:space="preserve">w/ DC-OPF </w:t>
      </w:r>
      <w:r>
        <w:t xml:space="preserve">to see </w:t>
      </w:r>
      <w:r w:rsidR="00B916E8">
        <w:t>Maximum Realizable Flexibility</w:t>
      </w:r>
    </w:p>
    <w:p w:rsidR="009D58B1" w:rsidP="009D58B1" w:rsidRDefault="009D58B1" w14:paraId="559B9A0D" w14:textId="48CD8F4F">
      <w:pPr>
        <w:pStyle w:val="ListParagraph"/>
        <w:numPr>
          <w:ilvl w:val="1"/>
          <w:numId w:val="7"/>
        </w:numPr>
      </w:pPr>
      <w:r>
        <w:t>Var: Production.</w:t>
      </w:r>
    </w:p>
    <w:p w:rsidR="009D58B1" w:rsidP="009D58B1" w:rsidRDefault="009D58B1" w14:paraId="214137CF" w14:textId="381DEEBB">
      <w:pPr>
        <w:pStyle w:val="ListParagraph"/>
        <w:numPr>
          <w:ilvl w:val="1"/>
          <w:numId w:val="7"/>
        </w:numPr>
      </w:pPr>
      <w:proofErr w:type="spellStart"/>
      <w:r>
        <w:t>s.t.</w:t>
      </w:r>
      <w:proofErr w:type="spellEnd"/>
      <w:r>
        <w:t xml:space="preserve"> Flexibility from original production schedule.</w:t>
      </w:r>
    </w:p>
    <w:p w:rsidR="009D58B1" w:rsidP="009D58B1" w:rsidRDefault="009D58B1" w14:paraId="438747C9" w14:textId="56D4FFFE">
      <w:pPr>
        <w:pStyle w:val="ListParagraph"/>
        <w:numPr>
          <w:ilvl w:val="1"/>
          <w:numId w:val="7"/>
        </w:numPr>
      </w:pPr>
      <w:proofErr w:type="spellStart"/>
      <w:r>
        <w:t>s.t.</w:t>
      </w:r>
      <w:proofErr w:type="spellEnd"/>
      <w:r>
        <w:t xml:space="preserve"> Network constraints</w:t>
      </w:r>
    </w:p>
    <w:p w:rsidR="00807748" w:rsidP="00807748" w:rsidRDefault="00807748" w14:paraId="40801F36" w14:textId="0CE1CC3B">
      <w:pPr>
        <w:pStyle w:val="ListParagraph"/>
        <w:numPr>
          <w:ilvl w:val="0"/>
          <w:numId w:val="7"/>
        </w:numPr>
      </w:pPr>
      <w:r>
        <w:t>System based metric not focused on flexibility available at each node</w:t>
      </w:r>
      <w:r w:rsidR="0053091F">
        <w:t>…</w:t>
      </w:r>
    </w:p>
    <w:p w:rsidR="00294597" w:rsidP="69BC9882" w:rsidRDefault="008161DF" w14:paraId="3B330A59" w14:textId="0D4D35B5">
      <w:pPr>
        <w:pStyle w:val="ListParagraph"/>
        <w:numPr>
          <w:ilvl w:val="1"/>
          <w:numId w:val="7"/>
        </w:numPr>
      </w:pPr>
      <w:r>
        <w:t>This metric is surely upper bounded by the flexibility without a network model</w:t>
      </w:r>
    </w:p>
    <w:p w:rsidR="00AE0C19" w:rsidP="00551AAC" w:rsidRDefault="00AE0C19" w14:paraId="0B3DE746" w14:textId="3139C642">
      <w:pPr>
        <w:pStyle w:val="Heading2"/>
      </w:pPr>
      <w:r>
        <w:t>Reserve modelling approach in POWER</w:t>
      </w:r>
      <w:r w:rsidR="00FF07E6">
        <w:t xml:space="preserve"> </w:t>
      </w:r>
      <w:r>
        <w:fldChar w:fldCharType="begin"/>
      </w:r>
      <w:r>
        <w:instrText xml:space="preserve"> ADDIN ZOTERO_ITEM CSL_CITATION {"citationID":"Luf2DpVz","properties":{"formattedCitation":"[6]","plainCitation":"[6]","noteIndex":0},"citationItems":[{"id":5689,"uris":["http://zotero.org/users/9057300/items/Q75W6YEI"],"itemData":{"id":5689,"type":"webpage","title":"BCorcoran_Frew_Dissertation_FINAL-augmented.pdf","URL":"https://stacks.stanford.edu/file/druid:hr320qr0229/BCorcoran_Frew_Dissertation_FINAL-augmented.pdf","accessed":{"date-parts":[["2022",11,18]]}}}],"schema":"https://github.com/citation-style-language/schema/raw/master/csl-citation.json"} </w:instrText>
      </w:r>
      <w:r>
        <w:fldChar w:fldCharType="separate"/>
      </w:r>
      <w:r w:rsidRPr="00AE0C19">
        <w:rPr>
          <w:rFonts w:ascii="Calibri" w:hAnsi="Calibri" w:cs="Calibri"/>
          <w:sz w:val="22"/>
        </w:rPr>
        <w:t>[6]</w:t>
      </w:r>
      <w:r>
        <w:fldChar w:fldCharType="end"/>
      </w:r>
      <w:r w:rsidR="00D67884">
        <w:t xml:space="preserve">, </w:t>
      </w:r>
      <w:r w:rsidR="00D67884">
        <w:fldChar w:fldCharType="begin"/>
      </w:r>
      <w:r w:rsidR="00D67884">
        <w:instrText xml:space="preserve"> ADDIN ZOTERO_ITEM CSL_CITATION {"citationID":"cT4FXnWQ","properties":{"formattedCitation":"[7]","plainCitation":"[7]","noteIndex":0},"citationItems":[{"id":5700,"uris":["http://zotero.org/users/9057300/items/EYIUIH6N"],"itemData":{"id":5700,"type":"webpage","title":"Eastern Wind Integration and Transmission Study","URL":"https://www.nrel.gov/docs/fy11osti/47078.pdf","accessed":{"date-parts":[["2022",11,22]]}}}],"schema":"https://github.com/citation-style-language/schema/raw/master/csl-citation.json"} </w:instrText>
      </w:r>
      <w:r w:rsidR="00D67884">
        <w:fldChar w:fldCharType="separate"/>
      </w:r>
      <w:r w:rsidRPr="00D67884" w:rsidR="00D67884">
        <w:rPr>
          <w:rFonts w:ascii="Calibri" w:hAnsi="Calibri" w:cs="Calibri"/>
          <w:sz w:val="22"/>
        </w:rPr>
        <w:t>[7]</w:t>
      </w:r>
      <w:r w:rsidR="00D67884">
        <w:fldChar w:fldCharType="end"/>
      </w:r>
      <w:r w:rsidR="00FF07E6">
        <w:t>:</w:t>
      </w:r>
    </w:p>
    <w:p w:rsidR="00800413" w:rsidP="00AE0C19" w:rsidRDefault="00B115DF" w14:paraId="462E68FF" w14:textId="77777777" w14:noSpellErr="1">
      <w:r w:rsidR="00B115DF">
        <w:rPr/>
        <w:t xml:space="preserve">The technique used by </w:t>
      </w:r>
      <w:r w:rsidRPr="4499E334" w:rsidR="00B115DF">
        <w:rPr>
          <w:b w:val="1"/>
          <w:bCs w:val="1"/>
        </w:rPr>
        <w:t>Bethany Frew</w:t>
      </w:r>
      <w:r w:rsidR="00B115DF">
        <w:rPr/>
        <w:t xml:space="preserve"> during her </w:t>
      </w:r>
      <w:r w:rsidR="00A21719">
        <w:rPr/>
        <w:t xml:space="preserve">PhD Dissertation and creation of POWER. </w:t>
      </w:r>
      <w:r w:rsidR="00800413">
        <w:rPr/>
        <w:t>The reserves were modelled as follows:</w:t>
      </w:r>
    </w:p>
    <w:p w:rsidR="00A42B30" w:rsidP="00AE0C19" w:rsidRDefault="00A42B30" w14:paraId="49E45C2C" w14:textId="044705DB">
      <m:oMathPara>
        <m:oMath>
          <m:r>
            <w:rPr>
              <w:rFonts w:ascii="Cambria Math" w:hAnsi="Cambria Math"/>
            </w:rPr>
            <m:t>k:Balancing regions (FERC regions),  t:Timeslice</m:t>
          </m:r>
        </m:oMath>
      </m:oMathPara>
    </w:p>
    <w:p w:rsidRPr="0014358C" w:rsidR="00A21719" w:rsidP="006565AE" w:rsidRDefault="00300CA2" w14:paraId="6DCC677C" w14:textId="2BE79876">
      <w:pPr>
        <w:jc w:val="center"/>
        <w:rPr>
          <w:rFonts w:eastAsiaTheme="minor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k</m:t>
              </m:r>
              <m:r>
                <w:rPr>
                  <w:rFonts w:ascii="Cambria Math" w:hAnsi="Cambria Math"/>
                </w:rPr>
                <m:t>,</m:t>
              </m:r>
              <m:r>
                <w:rPr>
                  <w:rFonts w:ascii="Cambria Math" w:hAnsi="Cambria Math"/>
                </w:rPr>
                <m:t>t</m:t>
              </m:r>
              <m:r>
                <w:rPr>
                  <w:rFonts w:ascii="Cambria Math" w:hAnsi="Cambria Math"/>
                </w:rPr>
                <m:t xml:space="preserve"> </m:t>
              </m:r>
            </m:sub>
            <m:sup>
              <m:r>
                <w:rPr>
                  <w:rFonts w:ascii="Cambria Math" w:hAnsi="Cambria Math"/>
                </w:rPr>
                <m:t>Spin</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r>
                <w:rPr>
                  <w:rFonts w:ascii="Cambria Math" w:hAnsi="Cambria Math"/>
                </w:rPr>
                <m:t>,</m:t>
              </m:r>
              <m:r>
                <w:rPr>
                  <w:rFonts w:ascii="Cambria Math" w:hAnsi="Cambria Math"/>
                </w:rPr>
                <m:t>t</m:t>
              </m:r>
              <m:r>
                <w:rPr>
                  <w:rFonts w:ascii="Cambria Math" w:hAnsi="Cambria Math"/>
                </w:rPr>
                <m:t xml:space="preserve"> </m:t>
              </m:r>
            </m:sub>
            <m:sup>
              <m:r>
                <w:rPr>
                  <w:rFonts w:ascii="Cambria Math" w:hAnsi="Cambria Math"/>
                </w:rPr>
                <m:t>Reg</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r>
                <w:rPr>
                  <w:rFonts w:ascii="Cambria Math" w:hAnsi="Cambria Math"/>
                </w:rPr>
                <m:t>,</m:t>
              </m:r>
              <m:r>
                <w:rPr>
                  <w:rFonts w:ascii="Cambria Math" w:hAnsi="Cambria Math"/>
                </w:rPr>
                <m:t>t</m:t>
              </m:r>
            </m:sub>
            <m:sup>
              <m:r>
                <w:rPr>
                  <w:rFonts w:ascii="Cambria Math" w:hAnsi="Cambria Math"/>
                </w:rPr>
                <m:t>Cont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r>
                <w:rPr>
                  <w:rFonts w:ascii="Cambria Math" w:hAnsi="Cambria Math"/>
                </w:rPr>
                <m:t>,</m:t>
              </m:r>
              <m:r>
                <w:rPr>
                  <w:rFonts w:ascii="Cambria Math" w:hAnsi="Cambria Math"/>
                </w:rPr>
                <m:t>t</m:t>
              </m:r>
            </m:sub>
            <m:sup>
              <m:r>
                <w:rPr>
                  <w:rFonts w:ascii="Cambria Math" w:hAnsi="Cambria Math"/>
                </w:rPr>
                <m:t>For</m:t>
              </m:r>
            </m:sup>
          </m:sSubSup>
        </m:oMath>
      </m:oMathPara>
    </w:p>
    <w:p w:rsidRPr="00B115DF" w:rsidR="0014358C" w:rsidP="006565AE" w:rsidRDefault="0014358C" w14:paraId="0A7EFC58" w14:textId="77777777">
      <w:pPr>
        <w:jc w:val="center"/>
      </w:pPr>
    </w:p>
    <w:p w:rsidRPr="0014358C" w:rsidR="0014358C" w:rsidP="0014358C" w:rsidRDefault="00300CA2" w14:paraId="4CDA7B61" w14:textId="7555D099">
      <w:pPr>
        <w:jc w:val="center"/>
        <w:rPr>
          <w:rFonts w:eastAsiaTheme="minor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k</m:t>
              </m:r>
              <m:r>
                <w:rPr>
                  <w:rFonts w:ascii="Cambria Math" w:hAnsi="Cambria Math"/>
                </w:rPr>
                <m:t>,</m:t>
              </m:r>
              <m:r>
                <w:rPr>
                  <w:rFonts w:ascii="Cambria Math" w:hAnsi="Cambria Math"/>
                </w:rPr>
                <m:t>t</m:t>
              </m:r>
              <m:r>
                <w:rPr>
                  <w:rFonts w:ascii="Cambria Math" w:hAnsi="Cambria Math"/>
                </w:rPr>
                <m:t xml:space="preserve"> </m:t>
              </m:r>
            </m:sub>
            <m:sup>
              <m:r>
                <w:rPr>
                  <w:rFonts w:ascii="Cambria Math" w:hAnsi="Cambria Math"/>
                </w:rPr>
                <m:t>NonSpin</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r>
                <w:rPr>
                  <w:rFonts w:ascii="Cambria Math" w:hAnsi="Cambria Math"/>
                </w:rPr>
                <m:t>,</m:t>
              </m:r>
              <m:r>
                <w:rPr>
                  <w:rFonts w:ascii="Cambria Math" w:hAnsi="Cambria Math"/>
                </w:rPr>
                <m:t>t</m:t>
              </m:r>
            </m:sub>
            <m:sup>
              <m:r>
                <w:rPr>
                  <w:rFonts w:ascii="Cambria Math" w:hAnsi="Cambria Math"/>
                </w:rPr>
                <m:t>Cont</m:t>
              </m:r>
            </m:sup>
          </m:sSub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r>
                <w:rPr>
                  <w:rFonts w:ascii="Cambria Math" w:hAnsi="Cambria Math"/>
                </w:rPr>
                <m:t>,</m:t>
              </m:r>
              <m:r>
                <w:rPr>
                  <w:rFonts w:ascii="Cambria Math" w:hAnsi="Cambria Math"/>
                </w:rPr>
                <m:t>t</m:t>
              </m:r>
            </m:sub>
            <m:sup>
              <m:r>
                <w:rPr>
                  <w:rFonts w:ascii="Cambria Math" w:hAnsi="Cambria Math"/>
                </w:rPr>
                <m:t>For</m:t>
              </m:r>
            </m:sup>
          </m:sSubSup>
        </m:oMath>
      </m:oMathPara>
    </w:p>
    <w:p w:rsidR="0014358C" w:rsidP="0014358C" w:rsidRDefault="0014358C" w14:paraId="75A16D6C" w14:textId="2CE0AB08">
      <w:pPr>
        <w:rPr>
          <w:rFonts w:eastAsiaTheme="minorEastAsia"/>
        </w:rPr>
      </w:pPr>
      <w:r w:rsidRPr="00A42B30">
        <w:rPr>
          <w:rFonts w:eastAsiaTheme="minorEastAsia"/>
          <w:b/>
          <w:bCs/>
          <w:i/>
          <w:iCs/>
        </w:rPr>
        <w:t>Contingency reserve</w:t>
      </w:r>
      <w:r>
        <w:rPr>
          <w:rFonts w:eastAsiaTheme="minorEastAsia"/>
          <w:i/>
          <w:iCs/>
        </w:rPr>
        <w:t>:</w:t>
      </w:r>
      <w:r>
        <w:rPr>
          <w:rFonts w:eastAsiaTheme="minorEastAsia"/>
        </w:rPr>
        <w:t xml:space="preserve"> Used for unpredictable forced outage of generators or transmission</w:t>
      </w:r>
      <w:r w:rsidR="00A42B30">
        <w:rPr>
          <w:rFonts w:eastAsiaTheme="minorEastAsia"/>
        </w:rPr>
        <w:t>.</w:t>
      </w:r>
      <w:r w:rsidR="00EF32E3">
        <w:rPr>
          <w:rFonts w:eastAsiaTheme="minorEastAsia"/>
        </w:rPr>
        <w:t xml:space="preserve"> This reserve is based on the following standard, “</w:t>
      </w:r>
      <w:r w:rsidRPr="00EF32E3" w:rsidR="00EF32E3">
        <w:rPr>
          <w:rFonts w:eastAsiaTheme="minorEastAsia"/>
        </w:rPr>
        <w:t>WECC Reliability Standard BAL-002-WECC-1</w:t>
      </w:r>
      <w:r w:rsidR="00EF32E3">
        <w:rPr>
          <w:rFonts w:eastAsiaTheme="minorEastAsia"/>
        </w:rPr>
        <w:t>”:</w:t>
      </w:r>
    </w:p>
    <w:p w:rsidRPr="0014358C" w:rsidR="00325000" w:rsidP="0014358C" w:rsidRDefault="00300CA2" w14:paraId="4C6D5ABE" w14:textId="42FCAB06">
      <w:pPr>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r>
                <w:rPr>
                  <w:rFonts w:ascii="Cambria Math" w:hAnsi="Cambria Math" w:eastAsiaTheme="minorEastAsia"/>
                </w:rPr>
                <m:t xml:space="preserve"> </m:t>
              </m:r>
            </m:sub>
            <m:sup>
              <m:r>
                <w:rPr>
                  <w:rFonts w:ascii="Cambria Math" w:hAnsi="Cambria Math" w:eastAsiaTheme="minorEastAsia"/>
                </w:rPr>
                <m:t>Cont</m:t>
              </m:r>
            </m:sup>
          </m:sSubSup>
          <m:r>
            <w:rPr>
              <w:rFonts w:ascii="Cambria Math" w:hAnsi="Cambria Math" w:eastAsiaTheme="minorEastAsia"/>
            </w:rPr>
            <m:t>=</m:t>
          </m:r>
          <m:r>
            <m:rPr>
              <m:sty m:val="p"/>
            </m:rPr>
            <w:rPr>
              <w:rFonts w:ascii="Cambria Math" w:hAnsi="Cambria Math" w:eastAsiaTheme="minorEastAsia"/>
            </w:rPr>
            <m:t>max⁡</m:t>
          </m:r>
          <m:r>
            <w:rPr>
              <w:rFonts w:ascii="Cambria Math" w:hAnsi="Cambria Math" w:eastAsiaTheme="minorEastAsia"/>
            </w:rPr>
            <m:t xml:space="preserve">{1.5* </m:t>
          </m:r>
          <m:r>
            <w:rPr>
              <w:rFonts w:ascii="Cambria Math" w:hAnsi="Cambria Math" w:eastAsiaTheme="minorEastAsia"/>
            </w:rPr>
            <m:t>SL</m:t>
          </m:r>
          <m:sSub>
            <m:sSubPr>
              <m:ctrlPr>
                <w:rPr>
                  <w:rFonts w:ascii="Cambria Math" w:hAnsi="Cambria Math" w:eastAsiaTheme="minorEastAsia"/>
                  <w:i/>
                </w:rPr>
              </m:ctrlPr>
            </m:sSubPr>
            <m:e>
              <m:r>
                <w:rPr>
                  <w:rFonts w:ascii="Cambria Math" w:hAnsi="Cambria Math" w:eastAsiaTheme="minorEastAsia"/>
                </w:rPr>
                <m:t>H</m:t>
              </m:r>
            </m:e>
            <m:sub>
              <m:r>
                <w:rPr>
                  <w:rFonts w:ascii="Cambria Math" w:hAnsi="Cambria Math" w:eastAsiaTheme="minorEastAsia"/>
                </w:rPr>
                <m:t>k</m:t>
              </m:r>
            </m:sub>
          </m:sSub>
          <m:r>
            <w:rPr>
              <w:rFonts w:ascii="Cambria Math" w:hAnsi="Cambria Math" w:eastAsiaTheme="minorEastAsia"/>
            </w:rPr>
            <m:t>,6%*</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Sub>
          <m:r>
            <w:rPr>
              <w:rFonts w:ascii="Cambria Math" w:hAnsi="Cambria Math" w:eastAsiaTheme="minorEastAsia"/>
            </w:rPr>
            <m:t>}</m:t>
          </m:r>
        </m:oMath>
      </m:oMathPara>
    </w:p>
    <w:p w:rsidR="0014358C" w:rsidP="00ED2E31" w:rsidRDefault="00325000" w14:paraId="766801E7" w14:textId="55D78598">
      <w:pPr>
        <w:jc w:val="center"/>
        <w:rPr>
          <w:rFonts w:eastAsiaTheme="minorEastAsia"/>
        </w:rPr>
      </w:pPr>
      <m:oMath>
        <m:r>
          <w:rPr>
            <w:rFonts w:ascii="Cambria Math" w:hAnsi="Cambria Math" w:eastAsiaTheme="minorEastAsia"/>
          </w:rPr>
          <m:t>SL</m:t>
        </m:r>
        <m:sSub>
          <m:sSubPr>
            <m:ctrlPr>
              <w:rPr>
                <w:rFonts w:ascii="Cambria Math" w:hAnsi="Cambria Math" w:eastAsiaTheme="minorEastAsia"/>
                <w:i/>
              </w:rPr>
            </m:ctrlPr>
          </m:sSubPr>
          <m:e>
            <m:r>
              <w:rPr>
                <w:rFonts w:ascii="Cambria Math" w:hAnsi="Cambria Math" w:eastAsiaTheme="minorEastAsia"/>
              </w:rPr>
              <m:t>H</m:t>
            </m:r>
          </m:e>
          <m:sub>
            <m:r>
              <w:rPr>
                <w:rFonts w:ascii="Cambria Math" w:hAnsi="Cambria Math" w:eastAsiaTheme="minorEastAsia"/>
              </w:rPr>
              <m:t>k</m:t>
            </m:r>
          </m:sub>
        </m:sSub>
      </m:oMath>
      <w:r>
        <w:rPr>
          <w:rFonts w:eastAsiaTheme="minorEastAsia"/>
        </w:rPr>
        <w:t>: Single Largest Hazard</w:t>
      </w:r>
    </w:p>
    <w:p w:rsidRPr="0014358C" w:rsidR="00ED2E31" w:rsidP="00ED2E31" w:rsidRDefault="00300CA2" w14:paraId="4ED6543D" w14:textId="10C651A9">
      <w:pPr>
        <w:jc w:val="center"/>
        <w:rPr>
          <w:rFonts w:eastAsiaTheme="minorEastAsia"/>
        </w:rPr>
      </w:pPr>
      <m:oMath>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k</m:t>
            </m:r>
            <m:r>
              <w:rPr>
                <w:rFonts w:ascii="Cambria Math" w:hAnsi="Cambria Math" w:eastAsiaTheme="minorEastAsia"/>
              </w:rPr>
              <m:t xml:space="preserve">, </m:t>
            </m:r>
            <m:r>
              <w:rPr>
                <w:rFonts w:ascii="Cambria Math" w:hAnsi="Cambria Math" w:eastAsiaTheme="minorEastAsia"/>
              </w:rPr>
              <m:t>t</m:t>
            </m:r>
          </m:sub>
        </m:sSub>
      </m:oMath>
      <w:r w:rsidR="00ED2E31">
        <w:rPr>
          <w:rFonts w:eastAsiaTheme="minorEastAsia"/>
        </w:rPr>
        <w:t>: Load</w:t>
      </w:r>
    </w:p>
    <w:p w:rsidR="00ED2E31" w:rsidP="00ED2E31" w:rsidRDefault="003B6B24" w14:paraId="22453999" w14:textId="113E8C57">
      <w:pPr>
        <w:rPr>
          <w:rFonts w:eastAsiaTheme="minorEastAsia"/>
        </w:rPr>
      </w:pPr>
      <w:r>
        <w:rPr>
          <w:rFonts w:eastAsiaTheme="minorEastAsia"/>
          <w:b/>
          <w:bCs/>
          <w:i/>
          <w:iCs/>
        </w:rPr>
        <w:t>Frequency Regulation</w:t>
      </w:r>
      <w:r w:rsidR="00ED2E31">
        <w:rPr>
          <w:rFonts w:eastAsiaTheme="minorEastAsia"/>
          <w:i/>
          <w:iCs/>
        </w:rPr>
        <w:t>:</w:t>
      </w:r>
      <w:r w:rsidR="00ED2E31">
        <w:rPr>
          <w:rFonts w:eastAsiaTheme="minorEastAsia"/>
        </w:rPr>
        <w:t xml:space="preserve"> </w:t>
      </w:r>
      <w:r>
        <w:rPr>
          <w:rFonts w:eastAsiaTheme="minorEastAsia"/>
        </w:rPr>
        <w:t>Reserve for sub-minute variations (i.e. AGC)</w:t>
      </w:r>
      <w:r w:rsidR="00352DB7">
        <w:rPr>
          <w:rFonts w:eastAsiaTheme="minorEastAsia"/>
        </w:rPr>
        <w:t xml:space="preserve"> followed same technique as </w:t>
      </w:r>
      <w:proofErr w:type="spellStart"/>
      <w:r w:rsidR="009108D8">
        <w:rPr>
          <w:rFonts w:eastAsiaTheme="minorEastAsia"/>
        </w:rPr>
        <w:t>R</w:t>
      </w:r>
      <w:r w:rsidR="00D32D3C">
        <w:rPr>
          <w:rFonts w:eastAsiaTheme="minorEastAsia"/>
        </w:rPr>
        <w:t>eEDS</w:t>
      </w:r>
      <w:proofErr w:type="spellEnd"/>
      <w:r w:rsidR="00D32D3C">
        <w:rPr>
          <w:rFonts w:eastAsiaTheme="minorEastAsia"/>
        </w:rPr>
        <w:t xml:space="preserve"> </w:t>
      </w:r>
      <w:r w:rsidR="00D32D3C">
        <w:rPr>
          <w:rFonts w:eastAsiaTheme="minorEastAsia"/>
        </w:rPr>
        <w:fldChar w:fldCharType="begin"/>
      </w:r>
      <w:r w:rsidR="00D32D3C">
        <w:rPr>
          <w:rFonts w:eastAsiaTheme="minorEastAsia"/>
        </w:rPr>
        <w:instrText xml:space="preserve"> ADDIN ZOTERO_ITEM CSL_CITATION {"citationID":"BGgDOhua","properties":{"formattedCitation":"[8]","plainCitation":"[8]","noteIndex":0},"citationItems":[{"id":5716,"uris":["http://zotero.org/users/9057300/items/73YTVA5G"],"itemData":{"id":5716,"type":"report","language":"en","note":"DOI: 10.2172/1031955","number":"NREL/TP-6A20-46534, 1031955","page":"NREL/TP-6A20-46534, 1031955","source":"DOI.org (Crossref)","title":"Regional Energy Deployment System (ReEDS)","URL":"http://www.osti.gov/servlets/purl/1031955/","author":[{"family":"Short","given":"W."},{"family":"Sullivan","given":"P."},{"family":"Mai","given":"T."},{"family":"Mowers","given":"M."},{"family":"Uriarte","given":"C."},{"family":"Blair","given":"N."},{"family":"Heimiller","given":"D."},{"family":"Martinez","given":"A."}],"accessed":{"date-parts":[["2022",11,22]]},"issued":{"date-parts":[["2011",12,1]]}}}],"schema":"https://github.com/citation-style-language/schema/raw/master/csl-citation.json"} </w:instrText>
      </w:r>
      <w:r w:rsidR="00D32D3C">
        <w:rPr>
          <w:rFonts w:eastAsiaTheme="minorEastAsia"/>
        </w:rPr>
        <w:fldChar w:fldCharType="separate"/>
      </w:r>
      <w:r w:rsidRPr="00D32D3C" w:rsidR="00D32D3C">
        <w:rPr>
          <w:rFonts w:ascii="Calibri" w:hAnsi="Calibri" w:cs="Calibri"/>
        </w:rPr>
        <w:t>[8]</w:t>
      </w:r>
      <w:r w:rsidR="00D32D3C">
        <w:rPr>
          <w:rFonts w:eastAsiaTheme="minorEastAsia"/>
        </w:rPr>
        <w:fldChar w:fldCharType="end"/>
      </w:r>
      <w:r w:rsidR="00D32D3C">
        <w:rPr>
          <w:rFonts w:eastAsiaTheme="minorEastAsia"/>
        </w:rPr>
        <w:t>.</w:t>
      </w:r>
    </w:p>
    <w:p w:rsidR="00D32D3C" w:rsidP="00ED2E31" w:rsidRDefault="00300CA2" w14:paraId="71A4A427" w14:textId="79F9EAD5">
      <w:pPr>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reg</m:t>
              </m:r>
            </m:sup>
          </m:sSubSup>
          <m:r>
            <w:rPr>
              <w:rFonts w:ascii="Cambria Math" w:hAnsi="Cambria Math" w:eastAsiaTheme="minorEastAsia"/>
            </w:rPr>
            <m:t>=1.5%*</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Sub>
        </m:oMath>
      </m:oMathPara>
    </w:p>
    <w:p w:rsidR="00ED2E31" w:rsidP="00ED2E31" w:rsidRDefault="00CE6689" w14:paraId="4E41D6B2" w14:textId="0CE94A46">
      <w:pPr>
        <w:rPr>
          <w:rFonts w:eastAsiaTheme="minorEastAsia"/>
        </w:rPr>
      </w:pPr>
      <w:r>
        <w:rPr>
          <w:rFonts w:eastAsiaTheme="minorEastAsia"/>
          <w:b/>
          <w:bCs/>
          <w:i/>
          <w:iCs/>
        </w:rPr>
        <w:t>Forecasting Reserve</w:t>
      </w:r>
      <w:r>
        <w:rPr>
          <w:rFonts w:eastAsiaTheme="minorEastAsia"/>
          <w:i/>
          <w:iCs/>
        </w:rPr>
        <w:t>:</w:t>
      </w:r>
      <w:r>
        <w:rPr>
          <w:rFonts w:eastAsiaTheme="minorEastAsia"/>
        </w:rPr>
        <w:t xml:space="preserve"> This reserve is set based on </w:t>
      </w:r>
      <w:r w:rsidR="009336E4">
        <w:rPr>
          <w:rFonts w:eastAsiaTheme="minorEastAsia"/>
        </w:rPr>
        <w:t xml:space="preserve">forecasting errors, assumed wind and solar are the dominating forecasting errors (i.e. </w:t>
      </w:r>
      <w:commentRangeStart w:id="0"/>
      <w:r w:rsidR="009336E4">
        <w:rPr>
          <w:rFonts w:eastAsiaTheme="minorEastAsia"/>
        </w:rPr>
        <w:t>ignores load forecasting errors</w:t>
      </w:r>
      <w:commentRangeEnd w:id="0"/>
      <w:r w:rsidR="00740D16">
        <w:rPr>
          <w:rStyle w:val="CommentReference"/>
        </w:rPr>
        <w:commentReference w:id="0"/>
      </w:r>
      <w:r w:rsidR="009336E4">
        <w:rPr>
          <w:rFonts w:eastAsiaTheme="minorEastAsia"/>
        </w:rPr>
        <w:t>)</w:t>
      </w:r>
      <w:r w:rsidR="00F15597">
        <w:rPr>
          <w:rFonts w:eastAsiaTheme="minorEastAsia"/>
        </w:rPr>
        <w:t xml:space="preserve">. In this work the forecasting timescale is hourly, therefore, only 1/3 </w:t>
      </w:r>
      <w:r w:rsidR="00A56B22">
        <w:rPr>
          <w:rFonts w:eastAsiaTheme="minorEastAsia"/>
        </w:rPr>
        <w:t xml:space="preserve">(i.e. 1 </w:t>
      </w:r>
      <w:proofErr w:type="spellStart"/>
      <w:r w:rsidR="00A56B22">
        <w:rPr>
          <w:rFonts w:eastAsiaTheme="minorEastAsia"/>
        </w:rPr>
        <w:t>s.t.d</w:t>
      </w:r>
      <w:proofErr w:type="spellEnd"/>
      <w:r w:rsidR="00A56B22">
        <w:rPr>
          <w:rFonts w:eastAsiaTheme="minorEastAsia"/>
        </w:rPr>
        <w:t>) of the forecasting reserve is allocated to spinning reserves and the rest is allocated to non-spinning (quick-start).</w:t>
      </w:r>
    </w:p>
    <w:p w:rsidR="00694C22" w:rsidP="00ED2E31" w:rsidRDefault="00300CA2" w14:paraId="2FD889DD" w14:textId="50AA2148">
      <w:pPr>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For</m:t>
              </m:r>
            </m:sup>
          </m:sSubSup>
          <m:r>
            <w:rPr>
              <w:rFonts w:ascii="Cambria Math" w:hAnsi="Cambria Math" w:eastAsiaTheme="minorEastAsia"/>
            </w:rPr>
            <m:t>=3*</m:t>
          </m:r>
          <m:sSubSup>
            <m:sSubSupPr>
              <m:ctrlPr>
                <w:rPr>
                  <w:rFonts w:ascii="Cambria Math" w:hAnsi="Cambria Math" w:eastAsiaTheme="minorEastAsia"/>
                  <w:i/>
                </w:rPr>
              </m:ctrlPr>
            </m:sSubSupPr>
            <m:e>
              <m:r>
                <w:rPr>
                  <w:rFonts w:ascii="Cambria Math" w:hAnsi="Cambria Math" w:eastAsiaTheme="minorEastAsia"/>
                </w:rPr>
                <m:t>σ</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agg</m:t>
              </m:r>
            </m:sup>
          </m:sSubSup>
        </m:oMath>
      </m:oMathPara>
    </w:p>
    <w:p w:rsidR="00A314DA" w:rsidRDefault="00A75032" w14:paraId="256319D1" w14:textId="06A1057F">
      <w:r>
        <w:t>Wind is forecast using a persistent forecast model</w:t>
      </w:r>
      <w:r w:rsidR="007839F8">
        <w:t xml:space="preserve"> while the solar is </w:t>
      </w:r>
      <w:r w:rsidR="00A314DA">
        <w:t xml:space="preserve">forecast with a modified persistent model </w:t>
      </w:r>
      <w:r w:rsidR="007839F8">
        <w:t>following</w:t>
      </w:r>
      <w:r w:rsidR="00A314DA">
        <w:t xml:space="preserve"> the method employed in</w:t>
      </w:r>
      <w:r>
        <w:t xml:space="preserve"> </w:t>
      </w:r>
      <w:r>
        <w:fldChar w:fldCharType="begin"/>
      </w:r>
      <w:r>
        <w:instrText xml:space="preserve"> ADDIN ZOTERO_ITEM CSL_CITATION {"citationID":"rI2EM3UK","properties":{"formattedCitation":"[8]","plainCitation":"[8]","noteIndex":0},"citationItems":[{"id":5716,"uris":["http://zotero.org/users/9057300/items/73YTVA5G"],"itemData":{"id":5716,"type":"report","language":"en","note":"DOI: 10.2172/1031955","number":"NREL/TP-6A20-46534, 1031955","page":"NREL/TP-6A20-46534, 1031955","source":"DOI.org (Crossref)","title":"Regional Energy Deployment System (ReEDS)","URL":"http://www.osti.gov/servlets/purl/1031955/","author":[{"family":"Short","given":"W."},{"family":"Sullivan","given":"P."},{"family":"Mai","given":"T."},{"family":"Mowers","given":"M."},{"family":"Uriarte","given":"C."},{"family":"Blair","given":"N."},{"family":"Heimiller","given":"D."},{"family":"Martinez","given":"A."}],"accessed":{"date-parts":[["2022",11,22]]},"issued":{"date-parts":[["2011",12,1]]}}}],"schema":"https://github.com/citation-style-language/schema/raw/master/csl-citation.json"} </w:instrText>
      </w:r>
      <w:r>
        <w:fldChar w:fldCharType="separate"/>
      </w:r>
      <w:r w:rsidRPr="00A75032">
        <w:rPr>
          <w:rFonts w:ascii="Calibri" w:hAnsi="Calibri" w:cs="Calibri"/>
        </w:rPr>
        <w:t>[8]</w:t>
      </w:r>
      <w:r>
        <w:fldChar w:fldCharType="end"/>
      </w:r>
      <w:r w:rsidR="00A314DA">
        <w:t>.</w:t>
      </w:r>
    </w:p>
    <w:p w:rsidRPr="00CD1894" w:rsidR="00CD1894" w:rsidP="00CD1894" w:rsidRDefault="00CD1894" w14:paraId="26320604" w14:textId="14F6C1BB">
      <w:pPr>
        <w:jc w:val="center"/>
        <w:rPr>
          <w:rFonts w:eastAsiaTheme="minorEastAsia"/>
        </w:rPr>
      </w:pPr>
      <m:oMath>
        <m:r>
          <w:rPr>
            <w:rFonts w:ascii="Cambria Math" w:hAnsi="Cambria Math" w:eastAsiaTheme="minorEastAsia"/>
          </w:rPr>
          <m:t>d:Day</m:t>
        </m:r>
      </m:oMath>
      <w:r>
        <w:rPr>
          <w:rFonts w:eastAsiaTheme="minorEastAsia"/>
        </w:rPr>
        <w:t xml:space="preserve"> </w:t>
      </w:r>
    </w:p>
    <w:bookmarkStart w:name="_Hlk120175484" w:id="1"/>
    <w:p w:rsidRPr="00C1191E" w:rsidR="00A314DA" w:rsidRDefault="00300CA2" w14:paraId="7CD2E5F6" w14:textId="2D81B797">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k</m:t>
                  </m:r>
                  <m:r>
                    <w:rPr>
                      <w:rFonts w:ascii="Cambria Math" w:hAnsi="Cambria Math"/>
                    </w:rPr>
                    <m:t>,</m:t>
                  </m:r>
                  <m:r>
                    <w:rPr>
                      <w:rFonts w:ascii="Cambria Math" w:hAnsi="Cambria Math"/>
                    </w:rPr>
                    <m:t>t</m:t>
                  </m:r>
                  <m:r>
                    <w:rPr>
                      <w:rFonts w:ascii="Cambria Math" w:hAnsi="Cambria Math"/>
                    </w:rPr>
                    <m:t>+1</m:t>
                  </m:r>
                </m:sub>
              </m:sSub>
            </m:e>
          </m:acc>
          <w:bookmarkEnd w:id="1"/>
          <m:r>
            <w:rPr>
              <w:rFonts w:ascii="Cambria Math" w:hAnsi="Cambria Math"/>
            </w:rPr>
            <m:t>=</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Sub>
        </m:oMath>
      </m:oMathPara>
    </w:p>
    <w:p w:rsidRPr="00804A7C" w:rsidR="00E1024E" w:rsidRDefault="00300CA2" w14:paraId="75B6FACB" w14:textId="4EF227CA">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k</m:t>
                  </m:r>
                  <m:r>
                    <w:rPr>
                      <w:rFonts w:ascii="Cambria Math" w:hAnsi="Cambria Math"/>
                    </w:rPr>
                    <m:t>,</m:t>
                  </m:r>
                  <m:r>
                    <w:rPr>
                      <w:rFonts w:ascii="Cambria Math" w:hAnsi="Cambria Math"/>
                    </w:rPr>
                    <m:t>d</m:t>
                  </m:r>
                  <m:r>
                    <w:rPr>
                      <w:rFonts w:ascii="Cambria Math" w:hAnsi="Cambria Math"/>
                    </w:rPr>
                    <m:t>,</m:t>
                  </m:r>
                  <m:r>
                    <w:rPr>
                      <w:rFonts w:ascii="Cambria Math" w:hAnsi="Cambria Math"/>
                    </w:rPr>
                    <m:t>t</m:t>
                  </m:r>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15</m:t>
              </m:r>
            </m:den>
          </m:f>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15</m:t>
              </m:r>
            </m:sup>
            <m:e>
              <m:sSub>
                <m:sSubPr>
                  <m:ctrlPr>
                    <w:rPr>
                      <w:rFonts w:ascii="Cambria Math" w:hAnsi="Cambria Math"/>
                      <w:i/>
                    </w:rPr>
                  </m:ctrlPr>
                </m:sSubPr>
                <m:e>
                  <m:r>
                    <w:rPr>
                      <w:rFonts w:ascii="Cambria Math" w:hAnsi="Cambria Math"/>
                    </w:rPr>
                    <m:t>s</m:t>
                  </m:r>
                </m:e>
                <m:sub>
                  <m:r>
                    <w:rPr>
                      <w:rFonts w:ascii="Cambria Math" w:hAnsi="Cambria Math"/>
                    </w:rPr>
                    <m:t>k</m:t>
                  </m:r>
                  <m:r>
                    <w:rPr>
                      <w:rFonts w:ascii="Cambria Math" w:hAnsi="Cambria Math"/>
                    </w:rPr>
                    <m:t>,</m:t>
                  </m:r>
                  <m:r>
                    <w:rPr>
                      <w:rFonts w:ascii="Cambria Math" w:hAnsi="Cambria Math"/>
                    </w:rPr>
                    <m:t>d</m:t>
                  </m:r>
                  <m:r>
                    <w:rPr>
                      <w:rFonts w:ascii="Cambria Math" w:hAnsi="Cambria Math"/>
                    </w:rPr>
                    <m:t>-</m:t>
                  </m:r>
                  <m:r>
                    <w:rPr>
                      <w:rFonts w:ascii="Cambria Math" w:hAnsi="Cambria Math"/>
                    </w:rPr>
                    <m:t>i</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r>
                    <w:rPr>
                      <w:rFonts w:ascii="Cambria Math" w:hAnsi="Cambria Math"/>
                    </w:rPr>
                    <m:t>,</m:t>
                  </m:r>
                  <m:r>
                    <w:rPr>
                      <w:rFonts w:ascii="Cambria Math" w:hAnsi="Cambria Math"/>
                    </w:rPr>
                    <m:t>d</m:t>
                  </m:r>
                  <m:r>
                    <w:rPr>
                      <w:rFonts w:ascii="Cambria Math" w:hAnsi="Cambria Math"/>
                    </w:rPr>
                    <m:t>-</m:t>
                  </m:r>
                  <m:r>
                    <w:rPr>
                      <w:rFonts w:ascii="Cambria Math" w:hAnsi="Cambria Math"/>
                    </w:rPr>
                    <m:t>i</m:t>
                  </m:r>
                  <m:r>
                    <w:rPr>
                      <w:rFonts w:ascii="Cambria Math" w:hAnsi="Cambria Math"/>
                    </w:rPr>
                    <m:t>,</m:t>
                  </m:r>
                  <m:r>
                    <w:rPr>
                      <w:rFonts w:ascii="Cambria Math" w:hAnsi="Cambria Math"/>
                    </w:rPr>
                    <m:t>t</m:t>
                  </m:r>
                </m:sub>
              </m:sSub>
            </m:e>
          </m:nary>
          <m:r>
            <w:rPr>
              <w:rFonts w:ascii="Cambria Math" w:hAnsi="Cambria Math"/>
            </w:rPr>
            <m:t>)</m:t>
          </m:r>
        </m:oMath>
      </m:oMathPara>
    </w:p>
    <w:p w:rsidRPr="007F419F" w:rsidR="00804A7C" w:rsidRDefault="00300CA2" w14:paraId="424B88A6" w14:textId="5880897A">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k</m:t>
                  </m:r>
                  <m:r>
                    <w:rPr>
                      <w:rFonts w:ascii="Cambria Math" w:hAnsi="Cambria Math"/>
                    </w:rPr>
                    <m:t>,</m:t>
                  </m:r>
                  <m:r>
                    <w:rPr>
                      <w:rFonts w:ascii="Cambria Math" w:hAnsi="Cambria Math"/>
                    </w:rPr>
                    <m:t>t</m:t>
                  </m:r>
                  <m:r>
                    <w:rPr>
                      <w:rFonts w:ascii="Cambria Math" w:hAnsi="Cambria Math"/>
                    </w:rPr>
                    <m:t>+1</m:t>
                  </m:r>
                </m:sub>
              </m:sSub>
            </m:e>
          </m:acc>
        </m:oMath>
      </m:oMathPara>
    </w:p>
    <w:p w:rsidR="007F419F" w:rsidRDefault="00804A7C" w14:paraId="15495E3B" w14:textId="466E057E">
      <w:pPr>
        <w:rPr>
          <w:rFonts w:eastAsiaTheme="minorEastAsia"/>
        </w:rPr>
      </w:pPr>
      <w:r>
        <w:rPr>
          <w:rFonts w:eastAsiaTheme="minorEastAsia"/>
        </w:rPr>
        <w:t>The forecast errors are then calculated based on the following:</w:t>
      </w:r>
    </w:p>
    <w:p w:rsidRPr="00CD1894" w:rsidR="00A81CF5" w:rsidRDefault="00300CA2" w14:paraId="7BDFBFA0" w14:textId="21F2B468">
      <w:pPr>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w</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err</m:t>
              </m:r>
            </m:sup>
          </m:sSubSup>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Sub>
          <m:r>
            <w:rPr>
              <w:rFonts w:ascii="Cambria Math" w:hAnsi="Cambria Math"/>
            </w:rPr>
            <m:t>-</m:t>
          </m:r>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k</m:t>
                  </m:r>
                  <m:r>
                    <w:rPr>
                      <w:rFonts w:ascii="Cambria Math" w:hAnsi="Cambria Math"/>
                    </w:rPr>
                    <m:t>,</m:t>
                  </m:r>
                  <m:r>
                    <w:rPr>
                      <w:rFonts w:ascii="Cambria Math" w:hAnsi="Cambria Math"/>
                    </w:rPr>
                    <m:t>t</m:t>
                  </m:r>
                </m:sub>
              </m:sSub>
            </m:e>
          </m:acc>
        </m:oMath>
      </m:oMathPara>
    </w:p>
    <w:p w:rsidRPr="00A81CF5" w:rsidR="00A81CF5" w:rsidP="00A81CF5" w:rsidRDefault="00300CA2" w14:paraId="04C07FD4" w14:textId="16CC14B0">
      <w:pPr>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s</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err</m:t>
              </m:r>
            </m:sup>
          </m:sSubSup>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Sub>
          <m:r>
            <w:rPr>
              <w:rFonts w:ascii="Cambria Math" w:hAnsi="Cambria Math"/>
            </w:rPr>
            <m:t>-</m:t>
          </m:r>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k</m:t>
                  </m:r>
                  <m:r>
                    <w:rPr>
                      <w:rFonts w:ascii="Cambria Math" w:hAnsi="Cambria Math"/>
                    </w:rPr>
                    <m:t>,</m:t>
                  </m:r>
                  <m:r>
                    <w:rPr>
                      <w:rFonts w:ascii="Cambria Math" w:hAnsi="Cambria Math"/>
                    </w:rPr>
                    <m:t>t</m:t>
                  </m:r>
                </m:sub>
              </m:sSub>
            </m:e>
          </m:acc>
        </m:oMath>
      </m:oMathPara>
    </w:p>
    <w:p w:rsidR="00A83C04" w:rsidRDefault="00294C63" w14:paraId="641F7372" w14:textId="3C801203">
      <w:pPr>
        <w:rPr>
          <w:rFonts w:eastAsiaTheme="minorEastAsia"/>
        </w:rPr>
      </w:pPr>
      <w:r>
        <w:rPr>
          <w:rFonts w:eastAsiaTheme="minorEastAsia"/>
        </w:rPr>
        <w:t xml:space="preserve">The forecast errors are then used to interpolate the expected </w:t>
      </w:r>
      <w:proofErr w:type="spellStart"/>
      <w:r>
        <w:rPr>
          <w:rFonts w:eastAsiaTheme="minorEastAsia"/>
        </w:rPr>
        <w:t>s.t.d</w:t>
      </w:r>
      <w:proofErr w:type="spellEnd"/>
      <w:r>
        <w:rPr>
          <w:rFonts w:eastAsiaTheme="minorEastAsia"/>
        </w:rPr>
        <w:t xml:space="preserve"> of forecasting errors, a method from </w:t>
      </w:r>
      <w:r>
        <w:rPr>
          <w:rFonts w:eastAsiaTheme="minorEastAsia"/>
        </w:rPr>
        <w:fldChar w:fldCharType="begin"/>
      </w:r>
      <w:r>
        <w:rPr>
          <w:rFonts w:eastAsiaTheme="minorEastAsia"/>
        </w:rPr>
        <w:instrText xml:space="preserve"> ADDIN ZOTERO_ITEM CSL_CITATION {"citationID":"IK1xbDEF","properties":{"formattedCitation":"[7]","plainCitation":"[7]","noteIndex":0},"citationItems":[{"id":5700,"uris":["http://zotero.org/users/9057300/items/EYIUIH6N"],"itemData":{"id":5700,"type":"webpage","title":"Eastern Wind Integration and Transmission Study","URL":"https://www.nrel.gov/docs/fy11osti/47078.pdf","accessed":{"date-parts":[["2022",11,22]]}}}],"schema":"https://github.com/citation-style-language/schema/raw/master/csl-citation.json"} </w:instrText>
      </w:r>
      <w:r>
        <w:rPr>
          <w:rFonts w:eastAsiaTheme="minorEastAsia"/>
        </w:rPr>
        <w:fldChar w:fldCharType="separate"/>
      </w:r>
      <w:r w:rsidRPr="00294C63">
        <w:rPr>
          <w:rFonts w:ascii="Calibri" w:hAnsi="Calibri" w:cs="Calibri"/>
        </w:rPr>
        <w:t>[7]</w:t>
      </w:r>
      <w:r>
        <w:rPr>
          <w:rFonts w:eastAsiaTheme="minorEastAsia"/>
        </w:rPr>
        <w:fldChar w:fldCharType="end"/>
      </w:r>
      <w:r w:rsidR="00A83C04">
        <w:rPr>
          <w:rFonts w:eastAsiaTheme="minorEastAsia"/>
        </w:rPr>
        <w:t>. This method uses the following steps:</w:t>
      </w:r>
    </w:p>
    <w:p w:rsidR="00A83C04" w:rsidP="00A83C04" w:rsidRDefault="000365E2" w14:paraId="74D8CEBD" w14:textId="29C9F215">
      <w:pPr>
        <w:pStyle w:val="ListParagraph"/>
        <w:numPr>
          <w:ilvl w:val="0"/>
          <w:numId w:val="9"/>
        </w:numPr>
        <w:rPr>
          <w:rFonts w:eastAsiaTheme="minorEastAsia"/>
        </w:rPr>
      </w:pPr>
      <w:r>
        <w:rPr>
          <w:rFonts w:eastAsiaTheme="minorEastAsia"/>
        </w:rPr>
        <w:t xml:space="preserve">Estimate the </w:t>
      </w:r>
      <w:proofErr w:type="spellStart"/>
      <w:r w:rsidR="00D92DF4">
        <w:rPr>
          <w:rFonts w:eastAsiaTheme="minorEastAsia"/>
        </w:rPr>
        <w:t>s.t.d</w:t>
      </w:r>
      <w:proofErr w:type="spellEnd"/>
      <w:r>
        <w:rPr>
          <w:rFonts w:eastAsiaTheme="minorEastAsia"/>
        </w:rPr>
        <w:t xml:space="preserve"> within each decile over the modelling horizon (</w:t>
      </w:r>
      <w:r w:rsidR="00401CA4">
        <w:rPr>
          <w:rFonts w:eastAsiaTheme="minorEastAsia"/>
        </w:rPr>
        <w:t>Points are normal within each decile)</w:t>
      </w:r>
      <w:r w:rsidR="0006093C">
        <w:rPr>
          <w:rFonts w:eastAsiaTheme="minorEastAsia"/>
        </w:rPr>
        <w:t xml:space="preserve">. The deciles are </w:t>
      </w:r>
      <w:r w:rsidR="00BF08AD">
        <w:rPr>
          <w:rFonts w:eastAsiaTheme="minorEastAsia"/>
        </w:rPr>
        <w:t xml:space="preserve">delineated </w:t>
      </w:r>
      <w:r w:rsidR="0006093C">
        <w:rPr>
          <w:rFonts w:eastAsiaTheme="minorEastAsia"/>
        </w:rPr>
        <w:t xml:space="preserve">based on the </w:t>
      </w:r>
      <w:r w:rsidR="00BF08AD">
        <w:rPr>
          <w:rFonts w:eastAsiaTheme="minorEastAsia"/>
        </w:rPr>
        <w:t>wind/solar production value for each forecasting error datum.</w:t>
      </w:r>
    </w:p>
    <w:p w:rsidR="000365E2" w:rsidP="00A83C04" w:rsidRDefault="00BF08AD" w14:paraId="77B03068" w14:textId="2FA89FC8">
      <w:pPr>
        <w:pStyle w:val="ListParagraph"/>
        <w:numPr>
          <w:ilvl w:val="0"/>
          <w:numId w:val="9"/>
        </w:numPr>
        <w:rPr>
          <w:rFonts w:eastAsiaTheme="minorEastAsia"/>
        </w:rPr>
      </w:pPr>
      <w:commentRangeStart w:id="2"/>
      <w:r>
        <w:rPr>
          <w:rFonts w:eastAsiaTheme="minorEastAsia"/>
        </w:rPr>
        <w:t>Next</w:t>
      </w:r>
      <w:r w:rsidR="006066F5">
        <w:rPr>
          <w:rFonts w:eastAsiaTheme="minorEastAsia"/>
        </w:rPr>
        <w:t xml:space="preserve"> a</w:t>
      </w:r>
      <w:r w:rsidR="00D92DF4">
        <w:rPr>
          <w:rFonts w:eastAsiaTheme="minorEastAsia"/>
        </w:rPr>
        <w:t xml:space="preserve"> </w:t>
      </w:r>
      <w:r w:rsidR="00C66DCC">
        <w:rPr>
          <w:rFonts w:eastAsiaTheme="minorEastAsia"/>
        </w:rPr>
        <w:t xml:space="preserve">piecewise </w:t>
      </w:r>
      <w:r w:rsidR="00D92DF4">
        <w:rPr>
          <w:rFonts w:eastAsiaTheme="minorEastAsia"/>
        </w:rPr>
        <w:t xml:space="preserve">linear is used to </w:t>
      </w:r>
      <w:r w:rsidR="005679A5">
        <w:rPr>
          <w:rFonts w:eastAsiaTheme="minorEastAsia"/>
        </w:rPr>
        <w:t xml:space="preserve">fit the </w:t>
      </w:r>
      <w:proofErr w:type="spellStart"/>
      <w:r w:rsidR="00D92DF4">
        <w:rPr>
          <w:rFonts w:eastAsiaTheme="minorEastAsia"/>
        </w:rPr>
        <w:t>s.t.d</w:t>
      </w:r>
      <w:proofErr w:type="spellEnd"/>
      <w:r w:rsidR="00D92DF4">
        <w:rPr>
          <w:rFonts w:eastAsiaTheme="minorEastAsia"/>
        </w:rPr>
        <w:t xml:space="preserve"> </w:t>
      </w:r>
      <w:r w:rsidR="005679A5">
        <w:rPr>
          <w:rFonts w:eastAsiaTheme="minorEastAsia"/>
        </w:rPr>
        <w:t>against the average production value for each decile.</w:t>
      </w:r>
      <w:commentRangeEnd w:id="2"/>
      <w:r w:rsidR="002E73AA">
        <w:rPr>
          <w:rStyle w:val="CommentReference"/>
        </w:rPr>
        <w:commentReference w:id="2"/>
      </w:r>
    </w:p>
    <w:p w:rsidR="00C66DCC" w:rsidP="00A83C04" w:rsidRDefault="009A075C" w14:paraId="23DB145C" w14:textId="47369C3B">
      <w:pPr>
        <w:pStyle w:val="ListParagraph"/>
        <w:numPr>
          <w:ilvl w:val="0"/>
          <w:numId w:val="9"/>
        </w:numPr>
        <w:rPr>
          <w:rFonts w:eastAsiaTheme="minorEastAsia"/>
        </w:rPr>
      </w:pPr>
      <w:r>
        <w:rPr>
          <w:rFonts w:eastAsiaTheme="minorEastAsia"/>
        </w:rPr>
        <w:t>This piecewise linear function is then used to generate the</w:t>
      </w:r>
      <w:r w:rsidR="006702F1">
        <w:rPr>
          <w:rFonts w:eastAsiaTheme="minorEastAsia"/>
        </w:rPr>
        <w:t xml:space="preserve"> expected </w:t>
      </w:r>
      <w:proofErr w:type="spellStart"/>
      <w:r w:rsidR="006702F1">
        <w:rPr>
          <w:rFonts w:eastAsiaTheme="minorEastAsia"/>
        </w:rPr>
        <w:t>s.t.d</w:t>
      </w:r>
      <w:proofErr w:type="spellEnd"/>
      <w:r w:rsidR="006702F1">
        <w:rPr>
          <w:rFonts w:eastAsiaTheme="minorEastAsia"/>
        </w:rPr>
        <w:t xml:space="preserve"> for a </w:t>
      </w:r>
      <w:proofErr w:type="spellStart"/>
      <w:r w:rsidR="006702F1">
        <w:rPr>
          <w:rFonts w:eastAsiaTheme="minorEastAsia"/>
        </w:rPr>
        <w:t>timeslice</w:t>
      </w:r>
      <w:proofErr w:type="spellEnd"/>
      <w:r w:rsidR="006702F1">
        <w:rPr>
          <w:rFonts w:eastAsiaTheme="minorEastAsia"/>
        </w:rPr>
        <w:t xml:space="preserve"> based on the VRE </w:t>
      </w:r>
      <w:r w:rsidR="00837838">
        <w:rPr>
          <w:rFonts w:eastAsiaTheme="minorEastAsia"/>
        </w:rPr>
        <w:t>generation of the previous hour</w:t>
      </w:r>
      <w:r w:rsidR="006702F1">
        <w:rPr>
          <w:rFonts w:eastAsiaTheme="minorEastAsia"/>
        </w:rPr>
        <w:t>.</w:t>
      </w:r>
      <w:r w:rsidR="0052286C">
        <w:rPr>
          <w:rFonts w:eastAsiaTheme="minorEastAsia"/>
        </w:rPr>
        <w:t>.</w:t>
      </w:r>
    </w:p>
    <w:p w:rsidRPr="0052286C" w:rsidR="0052286C" w:rsidP="0052286C" w:rsidRDefault="00300CA2" w14:paraId="65C89554" w14:textId="77777777">
      <w:pPr>
        <w:pStyle w:val="ListParagraph"/>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σ</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site</m:t>
              </m:r>
            </m:sup>
          </m:sSubSup>
          <m:r>
            <w:rPr>
              <w:rFonts w:ascii="Cambria Math" w:hAnsi="Cambria Math" w:eastAsiaTheme="minorEastAsia"/>
            </w:rPr>
            <m:t>=</m:t>
          </m:r>
          <m:r>
            <w:rPr>
              <w:rFonts w:ascii="Cambria Math" w:hAnsi="Cambria Math" w:eastAsiaTheme="minorEastAsia"/>
            </w:rPr>
            <m:t>f</m:t>
          </m:r>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t</m:t>
              </m:r>
              <m:r>
                <w:rPr>
                  <w:rFonts w:ascii="Cambria Math" w:hAnsi="Cambria Math" w:eastAsiaTheme="minorEastAsia"/>
                </w:rPr>
                <m:t>-</m:t>
              </m:r>
              <m:r>
                <w:rPr>
                  <w:rFonts w:ascii="Cambria Math" w:hAnsi="Cambria Math" w:eastAsiaTheme="minorEastAsia"/>
                </w:rPr>
                <m:t>1</m:t>
              </m:r>
            </m:sub>
          </m:sSub>
          <m:r>
            <w:rPr>
              <w:rFonts w:ascii="Cambria Math" w:hAnsi="Cambria Math" w:eastAsiaTheme="minorEastAsia"/>
            </w:rPr>
            <m:t>)</m:t>
          </m:r>
        </m:oMath>
      </m:oMathPara>
    </w:p>
    <w:p w:rsidRPr="0052286C" w:rsidR="0052286C" w:rsidP="0052286C" w:rsidRDefault="0052286C" w14:paraId="47F7E75D" w14:textId="77777777">
      <w:pPr>
        <w:ind w:left="720"/>
        <w:rPr>
          <w:rFonts w:eastAsiaTheme="minorEastAsia"/>
        </w:rPr>
      </w:pPr>
    </w:p>
    <w:p w:rsidR="00EB06D7" w:rsidP="00A83C04" w:rsidRDefault="00AC27A7" w14:paraId="1B76858A" w14:textId="07DF5C44">
      <w:pPr>
        <w:pStyle w:val="ListParagraph"/>
        <w:numPr>
          <w:ilvl w:val="0"/>
          <w:numId w:val="9"/>
        </w:numPr>
        <w:rPr>
          <w:rFonts w:eastAsiaTheme="minorEastAsia"/>
        </w:rPr>
      </w:pPr>
      <w:r>
        <w:rPr>
          <w:rFonts w:eastAsiaTheme="minorEastAsia"/>
        </w:rPr>
        <w:t>Next, all forecasting error resources are aggregated assuming no correlations exists</w:t>
      </w:r>
      <w:r w:rsidR="008B141E">
        <w:rPr>
          <w:rFonts w:eastAsiaTheme="minorEastAsia"/>
        </w:rPr>
        <w:t>.</w:t>
      </w:r>
    </w:p>
    <w:p w:rsidRPr="00751574" w:rsidR="008B141E" w:rsidP="0052286C" w:rsidRDefault="00300CA2" w14:paraId="320CF19D" w14:textId="3FEBA7E6">
      <w:pPr>
        <w:pStyle w:val="ListParagraph"/>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σ</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agg</m:t>
              </m:r>
            </m:sup>
          </m:sSubSup>
        </m:oMath>
      </m:oMathPara>
    </w:p>
    <w:p w:rsidRPr="00105FF3" w:rsidR="001561A1" w:rsidP="001561A1" w:rsidRDefault="002963EC" w14:paraId="59B7C663" w14:textId="774C5AF0">
      <w:pPr>
        <w:pStyle w:val="ListParagraph"/>
        <w:numPr>
          <w:ilvl w:val="0"/>
          <w:numId w:val="9"/>
        </w:numPr>
        <w:rPr>
          <w:rFonts w:eastAsiaTheme="minorEastAsia"/>
        </w:rPr>
      </w:pPr>
      <w:r>
        <w:rPr>
          <w:rFonts w:eastAsiaTheme="minorEastAsia"/>
        </w:rPr>
        <w:t>Finally,</w:t>
      </w:r>
      <w:r w:rsidR="007176FF">
        <w:rPr>
          <w:rFonts w:eastAsiaTheme="minorEastAsia"/>
        </w:rPr>
        <w:t xml:space="preserve"> the aggregated </w:t>
      </w:r>
      <w:proofErr w:type="spellStart"/>
      <w:r w:rsidR="00CF618F">
        <w:rPr>
          <w:rFonts w:eastAsiaTheme="minorEastAsia"/>
        </w:rPr>
        <w:t>s.t.d</w:t>
      </w:r>
      <w:proofErr w:type="spellEnd"/>
      <w:r w:rsidR="00CF618F">
        <w:rPr>
          <w:rFonts w:eastAsiaTheme="minorEastAsia"/>
        </w:rPr>
        <w:t xml:space="preserve"> is adjusted based on following logic:</w:t>
      </w:r>
      <w:r w:rsidR="00CF618F">
        <w:rPr>
          <w:rFonts w:eastAsiaTheme="minorEastAsia"/>
          <w:i/>
        </w:rPr>
        <w:t xml:space="preserve"> </w:t>
      </w:r>
      <w:r w:rsidR="00CF618F">
        <w:rPr>
          <w:rFonts w:eastAsiaTheme="minorEastAsia"/>
          <w:iCs/>
        </w:rPr>
        <w:t>If the wind resource drop</w:t>
      </w:r>
      <w:r w:rsidR="00550D6D">
        <w:rPr>
          <w:rFonts w:eastAsiaTheme="minorEastAsia"/>
          <w:iCs/>
        </w:rPr>
        <w:t>s</w:t>
      </w:r>
      <w:r w:rsidR="00CF618F">
        <w:rPr>
          <w:rFonts w:eastAsiaTheme="minorEastAsia"/>
          <w:iCs/>
        </w:rPr>
        <w:t xml:space="preserve"> in the </w:t>
      </w:r>
      <w:r w:rsidR="00550D6D">
        <w:rPr>
          <w:rFonts w:eastAsiaTheme="minorEastAsia"/>
          <w:iCs/>
        </w:rPr>
        <w:t xml:space="preserve">current </w:t>
      </w:r>
      <w:r w:rsidR="00CF618F">
        <w:rPr>
          <w:rFonts w:eastAsiaTheme="minorEastAsia"/>
          <w:iCs/>
        </w:rPr>
        <w:t xml:space="preserve">hour and the reserves were </w:t>
      </w:r>
      <w:r w:rsidR="0052286C">
        <w:rPr>
          <w:rFonts w:eastAsiaTheme="minorEastAsia"/>
          <w:iCs/>
        </w:rPr>
        <w:t xml:space="preserve">held </w:t>
      </w:r>
      <w:r w:rsidR="00CF618F">
        <w:rPr>
          <w:rFonts w:eastAsiaTheme="minorEastAsia"/>
          <w:iCs/>
        </w:rPr>
        <w:t xml:space="preserve">based on </w:t>
      </w:r>
      <w:r w:rsidR="00C11B0C">
        <w:rPr>
          <w:rFonts w:eastAsiaTheme="minorEastAsia"/>
          <w:iCs/>
        </w:rPr>
        <w:t>a</w:t>
      </w:r>
      <w:r w:rsidR="00550D6D">
        <w:rPr>
          <w:rFonts w:eastAsiaTheme="minorEastAsia"/>
          <w:iCs/>
        </w:rPr>
        <w:t xml:space="preserve"> forecast from the previous hour, the model is forced to dispatch</w:t>
      </w:r>
      <w:r w:rsidR="00874962">
        <w:rPr>
          <w:rFonts w:eastAsiaTheme="minorEastAsia"/>
          <w:iCs/>
        </w:rPr>
        <w:t xml:space="preserve">. </w:t>
      </w:r>
      <w:r w:rsidR="00A81690">
        <w:rPr>
          <w:rFonts w:eastAsiaTheme="minorEastAsia"/>
          <w:iCs/>
        </w:rPr>
        <w:t xml:space="preserve">This is done to avoid dispatching </w:t>
      </w:r>
    </w:p>
    <w:p w:rsidRPr="001561A1" w:rsidR="00105FF3" w:rsidP="00105FF3" w:rsidRDefault="00105FF3" w14:paraId="76099E5C" w14:textId="5060ED13">
      <w:pPr>
        <w:pStyle w:val="ListParagraph"/>
        <w:numPr>
          <w:ilvl w:val="1"/>
          <w:numId w:val="9"/>
        </w:numPr>
        <w:rPr>
          <w:rFonts w:eastAsiaTheme="minorEastAsia"/>
        </w:rPr>
      </w:pPr>
      <w:r>
        <w:rPr>
          <w:rFonts w:eastAsiaTheme="minorEastAsia"/>
          <w:iCs/>
        </w:rPr>
        <w:t xml:space="preserve">If </w:t>
      </w:r>
      <m:oMath>
        <m:sSub>
          <m:sSubPr>
            <m:ctrlPr>
              <w:rPr>
                <w:rFonts w:ascii="Cambria Math" w:hAnsi="Cambria Math" w:eastAsiaTheme="minorEastAsia"/>
                <w:i/>
                <w:iCs/>
              </w:rPr>
            </m:ctrlPr>
          </m:sSubPr>
          <m:e>
            <m:r>
              <w:rPr>
                <w:rFonts w:ascii="Cambria Math" w:hAnsi="Cambria Math" w:eastAsiaTheme="minorEastAsia"/>
              </w:rPr>
              <m:t>w</m:t>
            </m:r>
          </m:e>
          <m:sub>
            <m:r>
              <w:rPr>
                <w:rFonts w:ascii="Cambria Math" w:hAnsi="Cambria Math" w:eastAsiaTheme="minorEastAsia"/>
              </w:rPr>
              <m:t>k,t+1</m:t>
            </m:r>
          </m:sub>
        </m:sSub>
        <m:r>
          <w:rPr>
            <w:rFonts w:ascii="Cambria Math" w:hAnsi="Cambria Math" w:eastAsiaTheme="minorEastAsia"/>
          </w:rPr>
          <m:t xml:space="preserve">&lt; </m:t>
        </m:r>
        <m:sSub>
          <m:sSubPr>
            <m:ctrlPr>
              <w:rPr>
                <w:rFonts w:ascii="Cambria Math" w:hAnsi="Cambria Math" w:eastAsiaTheme="minorEastAsia"/>
                <w:i/>
                <w:iCs/>
              </w:rPr>
            </m:ctrlPr>
          </m:sSubPr>
          <m:e>
            <m:r>
              <w:rPr>
                <w:rFonts w:ascii="Cambria Math" w:hAnsi="Cambria Math" w:eastAsiaTheme="minorEastAsia"/>
              </w:rPr>
              <m:t>w</m:t>
            </m:r>
          </m:e>
          <m:sub>
            <m:r>
              <w:rPr>
                <w:rFonts w:ascii="Cambria Math" w:hAnsi="Cambria Math" w:eastAsiaTheme="minorEastAsia"/>
              </w:rPr>
              <m:t>k,t</m:t>
            </m:r>
          </m:sub>
        </m:sSub>
      </m:oMath>
      <w:r w:rsidR="00E9609E">
        <w:rPr>
          <w:rFonts w:eastAsiaTheme="minorEastAsia"/>
          <w:iCs/>
        </w:rPr>
        <w:t>:</w:t>
      </w:r>
    </w:p>
    <w:p w:rsidRPr="00BB5260" w:rsidR="00BB5260" w:rsidP="00BB5260" w:rsidRDefault="00300CA2" w14:paraId="52C1D72A" w14:textId="77A2437E">
      <w:pPr>
        <w:ind w:left="720"/>
        <w:jc w:val="center"/>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For</m:t>
              </m:r>
              <m:r>
                <w:rPr>
                  <w:rFonts w:ascii="Cambria Math" w:hAnsi="Cambria Math" w:eastAsiaTheme="minorEastAsia"/>
                </w:rPr>
                <m:t>,</m:t>
              </m:r>
              <m:r>
                <w:rPr>
                  <w:rFonts w:ascii="Cambria Math" w:hAnsi="Cambria Math" w:eastAsiaTheme="minorEastAsia"/>
                </w:rPr>
                <m:t>Adjusted</m:t>
              </m:r>
            </m:sup>
          </m:sSubSup>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For</m:t>
              </m:r>
            </m:sup>
          </m:sSubSup>
          <m:r>
            <w:rPr>
              <w:rFonts w:ascii="Cambria Math" w:hAnsi="Cambria Math" w:eastAsiaTheme="minorEastAsia"/>
            </w:rPr>
            <m:t>-</m:t>
          </m:r>
          <m:r>
            <m:rPr>
              <m:sty m:val="p"/>
            </m:rPr>
            <w:rPr>
              <w:rFonts w:ascii="Cambria Math" w:hAnsi="Cambria Math" w:eastAsiaTheme="minorEastAsia"/>
            </w:rPr>
            <m:t>min⁡</m:t>
          </m:r>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For</m:t>
              </m:r>
            </m:sup>
          </m:sSubSup>
          <m:r>
            <w:rPr>
              <w:rFonts w:ascii="Cambria Math" w:hAnsi="Cambria Math" w:eastAsiaTheme="minorEastAsia"/>
            </w:rPr>
            <m:t>,</m:t>
          </m:r>
          <m:sSub>
            <m:sSubPr>
              <m:ctrlPr>
                <w:rPr>
                  <w:rFonts w:ascii="Cambria Math" w:hAnsi="Cambria Math" w:eastAsiaTheme="minorEastAsia"/>
                  <w:i/>
                  <w:iCs/>
                </w:rPr>
              </m:ctrlPr>
            </m:sSubPr>
            <m:e>
              <m:r>
                <w:rPr>
                  <w:rFonts w:ascii="Cambria Math" w:hAnsi="Cambria Math" w:eastAsiaTheme="minorEastAsia"/>
                </w:rPr>
                <m:t>w</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Sub>
          <m:r>
            <w:rPr>
              <w:rFonts w:ascii="Cambria Math" w:hAnsi="Cambria Math" w:eastAsiaTheme="minorEastAsia"/>
            </w:rPr>
            <m:t>-</m:t>
          </m:r>
          <m:r>
            <w:rPr>
              <w:rFonts w:ascii="Cambria Math" w:hAnsi="Cambria Math" w:eastAsiaTheme="minorEastAsia"/>
            </w:rPr>
            <m:t xml:space="preserve"> </m:t>
          </m:r>
          <m:sSub>
            <m:sSubPr>
              <m:ctrlPr>
                <w:rPr>
                  <w:rFonts w:ascii="Cambria Math" w:hAnsi="Cambria Math" w:eastAsiaTheme="minorEastAsia"/>
                  <w:i/>
                  <w:iCs/>
                </w:rPr>
              </m:ctrlPr>
            </m:sSubPr>
            <m:e>
              <m:r>
                <w:rPr>
                  <w:rFonts w:ascii="Cambria Math" w:hAnsi="Cambria Math" w:eastAsiaTheme="minorEastAsia"/>
                </w:rPr>
                <m:t>w</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r>
                <w:rPr>
                  <w:rFonts w:ascii="Cambria Math" w:hAnsi="Cambria Math" w:eastAsiaTheme="minorEastAsia"/>
                </w:rPr>
                <m:t>+1</m:t>
              </m:r>
            </m:sub>
          </m:sSub>
          <m:r>
            <w:rPr>
              <w:rFonts w:ascii="Cambria Math" w:hAnsi="Cambria Math" w:eastAsiaTheme="minorEastAsia"/>
            </w:rPr>
            <m:t>)</m:t>
          </m:r>
        </m:oMath>
      </m:oMathPara>
    </w:p>
    <w:p w:rsidRPr="00BB5260" w:rsidR="00BB5260" w:rsidP="00BB5260" w:rsidRDefault="00BB5260" w14:paraId="20C3F828" w14:textId="43326DAE">
      <w:pPr>
        <w:ind w:left="720"/>
        <w:rPr>
          <w:rFonts w:eastAsiaTheme="minorEastAsia"/>
          <w:color w:val="FF0000"/>
        </w:rPr>
      </w:pPr>
      <w:r>
        <w:rPr>
          <w:rFonts w:eastAsiaTheme="minorEastAsia"/>
          <w:color w:val="FF0000"/>
        </w:rPr>
        <w:t>1 more detail needed to add to the investment/production problem.</w:t>
      </w:r>
    </w:p>
    <w:p w:rsidR="00071FC4" w:rsidRDefault="00071FC4" w14:paraId="398915A2" w14:textId="77777777">
      <w:pPr>
        <w:rPr>
          <w:rFonts w:eastAsiaTheme="minorEastAsia"/>
        </w:rPr>
      </w:pPr>
      <w:r w:rsidRPr="00071FC4">
        <w:rPr>
          <w:rFonts w:eastAsiaTheme="minorEastAsia"/>
          <w:b/>
          <w:bCs/>
        </w:rPr>
        <w:t>Notes</w:t>
      </w:r>
      <w:r>
        <w:rPr>
          <w:rFonts w:eastAsiaTheme="minorEastAsia"/>
        </w:rPr>
        <w:t>:</w:t>
      </w:r>
    </w:p>
    <w:p w:rsidR="00A81690" w:rsidP="00071FC4" w:rsidRDefault="006A7FFA" w14:paraId="6DD7CB63" w14:textId="77777777">
      <w:pPr>
        <w:pStyle w:val="ListParagraph"/>
        <w:numPr>
          <w:ilvl w:val="0"/>
          <w:numId w:val="11"/>
        </w:numPr>
        <w:rPr>
          <w:rFonts w:eastAsiaTheme="minorEastAsia"/>
        </w:rPr>
      </w:pPr>
      <w:r>
        <w:rPr>
          <w:rFonts w:eastAsiaTheme="minorEastAsia"/>
        </w:rPr>
        <w:t xml:space="preserve">They mention the errors are found to match gaussian distributions well in </w:t>
      </w:r>
      <w:r>
        <w:rPr>
          <w:rFonts w:eastAsiaTheme="minorEastAsia"/>
        </w:rPr>
        <w:fldChar w:fldCharType="begin"/>
      </w:r>
      <w:r>
        <w:rPr>
          <w:rFonts w:eastAsiaTheme="minorEastAsia"/>
        </w:rPr>
        <w:instrText xml:space="preserve"> ADDIN ZOTERO_ITEM CSL_CITATION {"citationID":"u0hYYnEV","properties":{"formattedCitation":"[7]","plainCitation":"[7]","noteIndex":0},"citationItems":[{"id":5700,"uris":["http://zotero.org/users/9057300/items/EYIUIH6N"],"itemData":{"id":5700,"type":"webpage","title":"Eastern Wind Integration and Transmission Study","URL":"https://www.nrel.gov/docs/fy11osti/47078.pdf","accessed":{"date-parts":[["2022",11,22]]}}}],"schema":"https://github.com/citation-style-language/schema/raw/master/csl-citation.json"} </w:instrText>
      </w:r>
      <w:r>
        <w:rPr>
          <w:rFonts w:eastAsiaTheme="minorEastAsia"/>
        </w:rPr>
        <w:fldChar w:fldCharType="separate"/>
      </w:r>
      <w:r w:rsidRPr="006A7FFA">
        <w:rPr>
          <w:rFonts w:ascii="Calibri" w:hAnsi="Calibri" w:cs="Calibri"/>
        </w:rPr>
        <w:t>[7]</w:t>
      </w:r>
      <w:r>
        <w:rPr>
          <w:rFonts w:eastAsiaTheme="minorEastAsia"/>
        </w:rPr>
        <w:fldChar w:fldCharType="end"/>
      </w:r>
      <w:r>
        <w:rPr>
          <w:rFonts w:eastAsiaTheme="minorEastAsia"/>
        </w:rPr>
        <w:t xml:space="preserve">, however, in work focusing on wind power forecasting error distributions they found that in reality the distribution changes based on the timescale of forecasting </w:t>
      </w:r>
      <w:r>
        <w:rPr>
          <w:rFonts w:eastAsiaTheme="minorEastAsia"/>
        </w:rPr>
        <w:fldChar w:fldCharType="begin"/>
      </w:r>
      <w:r>
        <w:rPr>
          <w:rFonts w:eastAsiaTheme="minorEastAsia"/>
        </w:rPr>
        <w:instrText xml:space="preserve"> ADDIN ZOTERO_ITEM CSL_CITATION {"citationID":"fGjmTWH5","properties":{"formattedCitation":"[9]","plainCitation":"[9]","noteIndex":0},"citationItems":[{"id":5289,"uris":["http://zotero.org/users/9057300/items/CQT6U6CY"],"itemData":{"id":5289,"type":"paper-conference","abstract":"Wind forecasting is an important consideration in integrating large amounts of wind power into the electricity grid. The wind power forecast error distribution assumed can have a large impact on the confidence intervals produced in wind power forecasting. In this work we examine the shape of the persistence model error distribution for ten different wind plants in the ERCOT system over multiple timescales. Comparisons are made between the experimental distribution shape and that of the normal distribution. The shape of the distribution is found to change significantly with the length of the forecasting timescale. The Cauchy distribution is proposed as a model distribution for the forecast errors and model parameters are fitted. Finally, the differences in confidence intervals obtained using the Cauchy distribution and the normal distribution are compared.","container-title":"2011 IEEE Power and Energy Society General Meeting","DOI":"10.1109/PES.2011.6039388","event-title":"2011 IEEE Power and Energy Society General Meeting","note":"ISSN: 1944-9925","page":"1-8","source":"IEEE Xplore","title":"Wind power forecasting error distributions over multiple timescales","author":[{"family":"Hodge","given":"Bri-Mathias"},{"family":"Milligan","given":"Michael"}],"issued":{"date-parts":[["2011",7]]}}}],"schema":"https://github.com/citation-style-language/schema/raw/master/csl-citation.json"} </w:instrText>
      </w:r>
      <w:r>
        <w:rPr>
          <w:rFonts w:eastAsiaTheme="minorEastAsia"/>
        </w:rPr>
        <w:fldChar w:fldCharType="separate"/>
      </w:r>
      <w:r w:rsidRPr="006A7FFA">
        <w:rPr>
          <w:rFonts w:ascii="Calibri" w:hAnsi="Calibri" w:cs="Calibri"/>
        </w:rPr>
        <w:t>[9]</w:t>
      </w:r>
      <w:r>
        <w:rPr>
          <w:rFonts w:eastAsiaTheme="minorEastAsia"/>
        </w:rPr>
        <w:fldChar w:fldCharType="end"/>
      </w:r>
      <w:r w:rsidR="00401E5E">
        <w:rPr>
          <w:rFonts w:eastAsiaTheme="minorEastAsia"/>
        </w:rPr>
        <w:t>.</w:t>
      </w:r>
    </w:p>
    <w:p w:rsidR="00A81690" w:rsidP="00A81690" w:rsidRDefault="00A81690" w14:paraId="5F9A3947" w14:textId="77777777">
      <w:pPr>
        <w:rPr>
          <w:rFonts w:eastAsiaTheme="minorEastAsia"/>
          <w:b/>
          <w:bCs/>
        </w:rPr>
      </w:pPr>
      <w:r>
        <w:rPr>
          <w:rFonts w:eastAsiaTheme="minorEastAsia"/>
          <w:b/>
          <w:bCs/>
        </w:rPr>
        <w:t>Proposed change:</w:t>
      </w:r>
    </w:p>
    <w:p w:rsidR="00046FB1" w:rsidP="00A81690" w:rsidRDefault="00A81690" w14:paraId="6EB18A4E" w14:textId="068C5461">
      <w:pPr>
        <w:rPr>
          <w:rFonts w:eastAsiaTheme="minorEastAsia"/>
        </w:rPr>
      </w:pPr>
      <w:r>
        <w:rPr>
          <w:rFonts w:eastAsiaTheme="minorEastAsia"/>
        </w:rPr>
        <w:t>The issue with their approach</w:t>
      </w:r>
      <w:r w:rsidR="00046FB1">
        <w:rPr>
          <w:rFonts w:eastAsiaTheme="minorEastAsia"/>
        </w:rPr>
        <w:t xml:space="preserve"> </w:t>
      </w:r>
      <w:r>
        <w:rPr>
          <w:rFonts w:eastAsiaTheme="minorEastAsia"/>
        </w:rPr>
        <w:t xml:space="preserve">is </w:t>
      </w:r>
      <w:r w:rsidR="00927705">
        <w:rPr>
          <w:rFonts w:eastAsiaTheme="minorEastAsia"/>
        </w:rPr>
        <w:t xml:space="preserve">the adjustment is </w:t>
      </w:r>
      <w:r w:rsidR="00272B1E">
        <w:rPr>
          <w:rFonts w:eastAsiaTheme="minorEastAsia"/>
        </w:rPr>
        <w:t xml:space="preserve">being </w:t>
      </w:r>
      <w:r w:rsidR="00927705">
        <w:rPr>
          <w:rFonts w:eastAsiaTheme="minorEastAsia"/>
        </w:rPr>
        <w:t xml:space="preserve">made based on the actual VRE production rather than the </w:t>
      </w:r>
      <w:r w:rsidR="00046FB1">
        <w:rPr>
          <w:rFonts w:eastAsiaTheme="minorEastAsia"/>
        </w:rPr>
        <w:t xml:space="preserve">forecasting error. </w:t>
      </w:r>
      <w:r w:rsidR="00272B1E">
        <w:rPr>
          <w:rFonts w:eastAsiaTheme="minorEastAsia"/>
        </w:rPr>
        <w:t xml:space="preserve">The adjustment should be made based on </w:t>
      </w:r>
      <w:r w:rsidR="003A6127">
        <w:rPr>
          <w:rFonts w:eastAsiaTheme="minorEastAsia"/>
        </w:rPr>
        <w:t xml:space="preserve">production lower than the forecast as this amount of dispatch is </w:t>
      </w:r>
      <w:r w:rsidR="00051E5F">
        <w:rPr>
          <w:rFonts w:eastAsiaTheme="minorEastAsia"/>
        </w:rPr>
        <w:t>what would be taken from the reserves for forecasting errors.</w:t>
      </w:r>
    </w:p>
    <w:p w:rsidRPr="001561A1" w:rsidR="00681A2A" w:rsidP="00681A2A" w:rsidRDefault="00681A2A" w14:paraId="4E43B035" w14:textId="324C47D9">
      <w:pPr>
        <w:pStyle w:val="ListParagraph"/>
        <w:numPr>
          <w:ilvl w:val="0"/>
          <w:numId w:val="12"/>
        </w:numPr>
        <w:rPr>
          <w:rFonts w:eastAsiaTheme="minorEastAsia"/>
        </w:rPr>
      </w:pPr>
      <w:r>
        <w:rPr>
          <w:rFonts w:eastAsiaTheme="minorEastAsia"/>
          <w:iCs/>
        </w:rPr>
        <w:t xml:space="preserve">If </w:t>
      </w:r>
      <m:oMath>
        <m:acc>
          <m:accPr>
            <m:chr m:val="̅"/>
            <m:ctrlPr>
              <w:rPr>
                <w:rFonts w:ascii="Cambria Math" w:hAnsi="Cambria Math" w:eastAsiaTheme="minorEastAsia"/>
                <w:i/>
                <w:iCs/>
              </w:rPr>
            </m:ctrlPr>
          </m:accPr>
          <m:e>
            <m:sSub>
              <m:sSubPr>
                <m:ctrlPr>
                  <w:rPr>
                    <w:rFonts w:ascii="Cambria Math" w:hAnsi="Cambria Math" w:eastAsiaTheme="minorEastAsia"/>
                    <w:i/>
                    <w:iCs/>
                  </w:rPr>
                </m:ctrlPr>
              </m:sSubPr>
              <m:e>
                <m:r>
                  <w:rPr>
                    <w:rFonts w:ascii="Cambria Math" w:hAnsi="Cambria Math" w:eastAsiaTheme="minorEastAsia"/>
                  </w:rPr>
                  <m:t>w</m:t>
                </m:r>
              </m:e>
              <m:sub>
                <m:r>
                  <w:rPr>
                    <w:rFonts w:ascii="Cambria Math" w:hAnsi="Cambria Math" w:eastAsiaTheme="minorEastAsia"/>
                  </w:rPr>
                  <m:t>k,t+1</m:t>
                </m:r>
              </m:sub>
            </m:sSub>
          </m:e>
        </m:acc>
        <m:r>
          <w:rPr>
            <w:rFonts w:ascii="Cambria Math" w:hAnsi="Cambria Math" w:eastAsiaTheme="minorEastAsia"/>
          </w:rPr>
          <m:t xml:space="preserve">&gt; </m:t>
        </m:r>
        <m:sSub>
          <m:sSubPr>
            <m:ctrlPr>
              <w:rPr>
                <w:rFonts w:ascii="Cambria Math" w:hAnsi="Cambria Math" w:eastAsiaTheme="minorEastAsia"/>
                <w:i/>
                <w:iCs/>
              </w:rPr>
            </m:ctrlPr>
          </m:sSubPr>
          <m:e>
            <m:r>
              <w:rPr>
                <w:rFonts w:ascii="Cambria Math" w:hAnsi="Cambria Math" w:eastAsiaTheme="minorEastAsia"/>
              </w:rPr>
              <m:t>w</m:t>
            </m:r>
          </m:e>
          <m:sub>
            <m:r>
              <w:rPr>
                <w:rFonts w:ascii="Cambria Math" w:hAnsi="Cambria Math" w:eastAsiaTheme="minorEastAsia"/>
              </w:rPr>
              <m:t>k,t+1</m:t>
            </m:r>
          </m:sub>
        </m:sSub>
      </m:oMath>
      <w:r>
        <w:rPr>
          <w:rFonts w:eastAsiaTheme="minorEastAsia"/>
          <w:iCs/>
        </w:rPr>
        <w:t>:</w:t>
      </w:r>
    </w:p>
    <w:p w:rsidRPr="005B4E23" w:rsidR="00681A2A" w:rsidP="00681A2A" w:rsidRDefault="00300CA2" w14:paraId="15D6D22C" w14:textId="3DFF6347">
      <w:pPr>
        <w:ind w:left="720"/>
        <w:jc w:val="center"/>
        <w:rPr>
          <w:rFonts w:eastAsiaTheme="minorEastAsia"/>
        </w:rPr>
      </w:pPr>
      <m:oMathPara>
        <m:oMath>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For</m:t>
              </m:r>
              <m:r>
                <w:rPr>
                  <w:rFonts w:ascii="Cambria Math" w:hAnsi="Cambria Math" w:eastAsiaTheme="minorEastAsia"/>
                </w:rPr>
                <m:t>,</m:t>
              </m:r>
              <m:r>
                <w:rPr>
                  <w:rFonts w:ascii="Cambria Math" w:hAnsi="Cambria Math" w:eastAsiaTheme="minorEastAsia"/>
                </w:rPr>
                <m:t>Adjusted</m:t>
              </m:r>
            </m:sup>
          </m:sSubSup>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For</m:t>
              </m:r>
            </m:sup>
          </m:sSubSup>
          <m:r>
            <w:rPr>
              <w:rFonts w:ascii="Cambria Math" w:hAnsi="Cambria Math" w:eastAsiaTheme="minorEastAsia"/>
            </w:rPr>
            <m:t>-</m:t>
          </m:r>
          <m:r>
            <m:rPr>
              <m:sty m:val="p"/>
            </m:rPr>
            <w:rPr>
              <w:rFonts w:ascii="Cambria Math" w:hAnsi="Cambria Math" w:eastAsiaTheme="minorEastAsia"/>
            </w:rPr>
            <m:t>min⁡</m:t>
          </m:r>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R</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sub>
            <m:sup>
              <m:r>
                <w:rPr>
                  <w:rFonts w:ascii="Cambria Math" w:hAnsi="Cambria Math" w:eastAsiaTheme="minorEastAsia"/>
                </w:rPr>
                <m:t>For</m:t>
              </m:r>
            </m:sup>
          </m:sSubSup>
          <m:r>
            <w:rPr>
              <w:rFonts w:ascii="Cambria Math" w:hAnsi="Cambria Math" w:eastAsiaTheme="minorEastAsia"/>
            </w:rPr>
            <m:t>,</m:t>
          </m:r>
          <m:acc>
            <m:accPr>
              <m:chr m:val="̅"/>
              <m:ctrlPr>
                <w:rPr>
                  <w:rFonts w:ascii="Cambria Math" w:hAnsi="Cambria Math" w:eastAsiaTheme="minorEastAsia"/>
                  <w:i/>
                  <w:iCs/>
                </w:rPr>
              </m:ctrlPr>
            </m:accPr>
            <m:e>
              <m:sSub>
                <m:sSubPr>
                  <m:ctrlPr>
                    <w:rPr>
                      <w:rFonts w:ascii="Cambria Math" w:hAnsi="Cambria Math" w:eastAsiaTheme="minorEastAsia"/>
                      <w:i/>
                      <w:iCs/>
                    </w:rPr>
                  </m:ctrlPr>
                </m:sSubPr>
                <m:e>
                  <m:r>
                    <w:rPr>
                      <w:rFonts w:ascii="Cambria Math" w:hAnsi="Cambria Math" w:eastAsiaTheme="minorEastAsia"/>
                    </w:rPr>
                    <m:t>w</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r>
                    <w:rPr>
                      <w:rFonts w:ascii="Cambria Math" w:hAnsi="Cambria Math" w:eastAsiaTheme="minorEastAsia"/>
                    </w:rPr>
                    <m:t>+1</m:t>
                  </m:r>
                </m:sub>
              </m:sSub>
            </m:e>
          </m:acc>
          <m:r>
            <w:rPr>
              <w:rFonts w:ascii="Cambria Math" w:hAnsi="Cambria Math" w:eastAsiaTheme="minorEastAsia"/>
            </w:rPr>
            <m:t>-</m:t>
          </m:r>
          <m:r>
            <w:rPr>
              <w:rFonts w:ascii="Cambria Math" w:hAnsi="Cambria Math" w:eastAsiaTheme="minorEastAsia"/>
            </w:rPr>
            <m:t xml:space="preserve"> </m:t>
          </m:r>
          <m:sSub>
            <m:sSubPr>
              <m:ctrlPr>
                <w:rPr>
                  <w:rFonts w:ascii="Cambria Math" w:hAnsi="Cambria Math" w:eastAsiaTheme="minorEastAsia"/>
                  <w:i/>
                  <w:iCs/>
                </w:rPr>
              </m:ctrlPr>
            </m:sSubPr>
            <m:e>
              <m:r>
                <w:rPr>
                  <w:rFonts w:ascii="Cambria Math" w:hAnsi="Cambria Math" w:eastAsiaTheme="minorEastAsia"/>
                </w:rPr>
                <m:t>w</m:t>
              </m:r>
            </m:e>
            <m:sub>
              <m:r>
                <w:rPr>
                  <w:rFonts w:ascii="Cambria Math" w:hAnsi="Cambria Math" w:eastAsiaTheme="minorEastAsia"/>
                </w:rPr>
                <m:t>k</m:t>
              </m:r>
              <m:r>
                <w:rPr>
                  <w:rFonts w:ascii="Cambria Math" w:hAnsi="Cambria Math" w:eastAsiaTheme="minorEastAsia"/>
                </w:rPr>
                <m:t>,</m:t>
              </m:r>
              <m:r>
                <w:rPr>
                  <w:rFonts w:ascii="Cambria Math" w:hAnsi="Cambria Math" w:eastAsiaTheme="minorEastAsia"/>
                </w:rPr>
                <m:t>t</m:t>
              </m:r>
              <m:r>
                <w:rPr>
                  <w:rFonts w:ascii="Cambria Math" w:hAnsi="Cambria Math" w:eastAsiaTheme="minorEastAsia"/>
                </w:rPr>
                <m:t>+1</m:t>
              </m:r>
            </m:sub>
          </m:sSub>
          <m:r>
            <w:rPr>
              <w:rFonts w:ascii="Cambria Math" w:hAnsi="Cambria Math" w:eastAsiaTheme="minorEastAsia"/>
            </w:rPr>
            <m:t>)</m:t>
          </m:r>
        </m:oMath>
      </m:oMathPara>
    </w:p>
    <w:p w:rsidR="005B4E23" w:rsidP="005B4E23" w:rsidRDefault="000272A1" w14:paraId="23D5AC02" w14:textId="15D11463">
      <w:pPr>
        <w:pStyle w:val="Heading2"/>
        <w:rPr>
          <w:rFonts w:eastAsiaTheme="minorEastAsia"/>
        </w:rPr>
      </w:pPr>
      <w:r>
        <w:rPr>
          <w:rFonts w:eastAsiaTheme="minorEastAsia"/>
        </w:rPr>
        <w:t>NERC</w:t>
      </w:r>
      <w:r w:rsidR="005B4E23">
        <w:rPr>
          <w:rFonts w:eastAsiaTheme="minorEastAsia"/>
        </w:rPr>
        <w:t xml:space="preserve">: </w:t>
      </w:r>
    </w:p>
    <w:p w:rsidR="005B4E23" w:rsidP="005B4E23" w:rsidRDefault="00300CA2" w14:paraId="6C390F05" w14:textId="2D5FCF2B">
      <w:hyperlink w:history="1" r:id="rId12">
        <w:r w:rsidR="007444A6">
          <w:rPr>
            <w:rStyle w:val="Hyperlink"/>
          </w:rPr>
          <w:t>Planning Reserve Margin</w:t>
        </w:r>
      </w:hyperlink>
      <w:r w:rsidR="000272A1">
        <w:t>:</w:t>
      </w:r>
    </w:p>
    <w:p w:rsidR="000272A1" w:rsidP="000272A1" w:rsidRDefault="00775E68" w14:paraId="27E46B3F" w14:textId="7FFC0905">
      <w:pPr>
        <w:pStyle w:val="ListParagraph"/>
        <w:numPr>
          <w:ilvl w:val="0"/>
          <w:numId w:val="11"/>
        </w:numPr>
      </w:pPr>
      <w:r>
        <w:t>15% reserve margin for thermal dominated systems.</w:t>
      </w:r>
    </w:p>
    <w:p w:rsidR="00775E68" w:rsidP="000272A1" w:rsidRDefault="00775E68" w14:paraId="698FFD7B" w14:textId="1D7DF465">
      <w:pPr>
        <w:pStyle w:val="ListParagraph"/>
        <w:numPr>
          <w:ilvl w:val="0"/>
          <w:numId w:val="11"/>
        </w:numPr>
      </w:pPr>
      <w:r>
        <w:t>10% reserve margin for hydro dominated systems.</w:t>
      </w:r>
    </w:p>
    <w:p w:rsidR="00775E68" w:rsidP="000272A1" w:rsidRDefault="00B24D70" w14:paraId="3CCFE81F" w14:textId="3DA206D1">
      <w:pPr>
        <w:pStyle w:val="ListParagraph"/>
        <w:numPr>
          <w:ilvl w:val="0"/>
          <w:numId w:val="11"/>
        </w:numPr>
      </w:pPr>
      <w:r>
        <w:t>“</w:t>
      </w:r>
      <w:r>
        <w:rPr>
          <w:rFonts w:ascii="Calibri" w:hAnsi="Calibri" w:cs="Calibri"/>
          <w:color w:val="000000"/>
          <w:shd w:val="clear" w:color="auto" w:fill="FFFFFF"/>
        </w:rPr>
        <w:t>Planning Reserve Margin equals the difference in Deliverable or Prospective Resources and Net Internal Demand, divided by Net Internal Demand</w:t>
      </w:r>
      <w:r>
        <w:t>”</w:t>
      </w:r>
    </w:p>
    <w:p w:rsidRPr="005B4E23" w:rsidR="00B24D70" w:rsidP="00B24D70" w:rsidRDefault="00B24D70" w14:paraId="1FA3EDEC" w14:textId="77777777">
      <w:pPr>
        <w:ind w:left="360"/>
      </w:pPr>
    </w:p>
    <w:p w:rsidR="00681A2A" w:rsidP="00A81690" w:rsidRDefault="00022E25" w14:paraId="48004AD5" w14:textId="43277D87">
      <w:pPr>
        <w:rPr>
          <w:rFonts w:eastAsiaTheme="minorEastAsia"/>
        </w:rPr>
      </w:pPr>
      <w:r w:rsidRPr="00022E25">
        <w:rPr>
          <w:rStyle w:val="Heading2Char"/>
        </w:rPr>
        <w:t>BPA</w:t>
      </w:r>
      <w:r>
        <w:rPr>
          <w:rFonts w:eastAsiaTheme="minorEastAsia"/>
        </w:rPr>
        <w:t>:</w:t>
      </w:r>
    </w:p>
    <w:p w:rsidR="00022E25" w:rsidP="00A81690" w:rsidRDefault="00022E25" w14:paraId="302DA3C1" w14:textId="1A20708B">
      <w:pPr>
        <w:rPr>
          <w:rFonts w:eastAsiaTheme="minorEastAsia"/>
        </w:rPr>
      </w:pPr>
      <w:r>
        <w:rPr>
          <w:rFonts w:eastAsiaTheme="minorEastAsia"/>
        </w:rPr>
        <w:t>Operating reserves:</w:t>
      </w:r>
      <w:r w:rsidR="00494D4C">
        <w:rPr>
          <w:rFonts w:eastAsiaTheme="minorEastAsia"/>
        </w:rPr>
        <w:t xml:space="preserve"> </w:t>
      </w:r>
      <w:r w:rsidR="00494D4C">
        <w:rPr>
          <w:rFonts w:eastAsiaTheme="minorEastAsia"/>
        </w:rPr>
        <w:fldChar w:fldCharType="begin"/>
      </w:r>
      <w:r w:rsidR="00494D4C">
        <w:rPr>
          <w:rFonts w:eastAsiaTheme="minorEastAsia"/>
        </w:rPr>
        <w:instrText xml:space="preserve"> ADDIN ZOTERO_ITEM CSL_CITATION {"citationID":"YR0Uj6g2","properties":{"formattedCitation":"[10]","plainCitation":"[10]","noteIndex":0},"citationItems":[{"id":5859,"uris":["http://zotero.org/users/9057300/items/24REDZX3"],"itemData":{"id":5859,"type":"webpage","title":"NW Council Operating and Planning Reserves","URL":"https://www.nwcouncil.org/sites/default/files/7thplanfinal_chap10_opplanningreserves_1.pdf","accessed":{"date-parts":[["2022",11,24]]}}}],"schema":"https://github.com/citation-style-language/schema/raw/master/csl-citation.json"} </w:instrText>
      </w:r>
      <w:r w:rsidR="00494D4C">
        <w:rPr>
          <w:rFonts w:eastAsiaTheme="minorEastAsia"/>
        </w:rPr>
        <w:fldChar w:fldCharType="separate"/>
      </w:r>
      <w:r w:rsidRPr="00494D4C" w:rsidR="00494D4C">
        <w:rPr>
          <w:rFonts w:ascii="Calibri" w:hAnsi="Calibri" w:cs="Calibri"/>
        </w:rPr>
        <w:t>[10]</w:t>
      </w:r>
      <w:r w:rsidR="00494D4C">
        <w:rPr>
          <w:rFonts w:eastAsiaTheme="minorEastAsia"/>
        </w:rPr>
        <w:fldChar w:fldCharType="end"/>
      </w:r>
    </w:p>
    <w:p w:rsidR="00022E25" w:rsidP="00022E25" w:rsidRDefault="00821620" w14:paraId="4487D191" w14:textId="5FE4B9FB">
      <w:pPr>
        <w:pStyle w:val="ListParagraph"/>
        <w:numPr>
          <w:ilvl w:val="0"/>
          <w:numId w:val="13"/>
        </w:numPr>
        <w:rPr>
          <w:rFonts w:eastAsiaTheme="minorEastAsia"/>
        </w:rPr>
      </w:pPr>
      <w:r>
        <w:rPr>
          <w:rFonts w:eastAsiaTheme="minorEastAsia"/>
        </w:rPr>
        <w:t>Spinning:</w:t>
      </w:r>
    </w:p>
    <w:p w:rsidR="00821620" w:rsidP="00821620" w:rsidRDefault="00821620" w14:paraId="2AC9763D" w14:textId="71C52194">
      <w:pPr>
        <w:pStyle w:val="ListParagraph"/>
        <w:numPr>
          <w:ilvl w:val="1"/>
          <w:numId w:val="13"/>
        </w:numPr>
        <w:rPr>
          <w:rFonts w:eastAsiaTheme="minorEastAsia"/>
        </w:rPr>
      </w:pPr>
      <w:r>
        <w:rPr>
          <w:rFonts w:eastAsiaTheme="minorEastAsia"/>
        </w:rPr>
        <w:t>1.5% of load + 1.5% of generation</w:t>
      </w:r>
    </w:p>
    <w:p w:rsidR="00821620" w:rsidP="00821620" w:rsidRDefault="00821620" w14:paraId="1016F88E" w14:textId="7F616E5B">
      <w:pPr>
        <w:pStyle w:val="ListParagraph"/>
        <w:numPr>
          <w:ilvl w:val="0"/>
          <w:numId w:val="13"/>
        </w:numPr>
        <w:rPr>
          <w:rFonts w:eastAsiaTheme="minorEastAsia"/>
        </w:rPr>
      </w:pPr>
      <w:r>
        <w:rPr>
          <w:rFonts w:eastAsiaTheme="minorEastAsia"/>
        </w:rPr>
        <w:t>Supplemental (non-spinning):</w:t>
      </w:r>
    </w:p>
    <w:p w:rsidR="00821620" w:rsidP="00821620" w:rsidRDefault="00642966" w14:paraId="6AEDB99F" w14:textId="08C2959E">
      <w:pPr>
        <w:pStyle w:val="ListParagraph"/>
        <w:numPr>
          <w:ilvl w:val="1"/>
          <w:numId w:val="13"/>
        </w:numPr>
        <w:rPr>
          <w:rFonts w:eastAsiaTheme="minorEastAsia"/>
        </w:rPr>
      </w:pPr>
      <w:r>
        <w:rPr>
          <w:rFonts w:eastAsiaTheme="minorEastAsia"/>
        </w:rPr>
        <w:t>1.5% of load + 1.5% of generation</w:t>
      </w:r>
    </w:p>
    <w:p w:rsidR="00263DE5" w:rsidP="00263DE5" w:rsidRDefault="005B661F" w14:paraId="4A80CECC" w14:textId="41E5FF56">
      <w:pPr>
        <w:pStyle w:val="ListParagraph"/>
        <w:numPr>
          <w:ilvl w:val="0"/>
          <w:numId w:val="13"/>
        </w:numPr>
        <w:rPr>
          <w:rFonts w:eastAsiaTheme="minorEastAsia"/>
        </w:rPr>
      </w:pPr>
      <w:r>
        <w:rPr>
          <w:rFonts w:eastAsiaTheme="minorEastAsia"/>
        </w:rPr>
        <w:t xml:space="preserve">Or </w:t>
      </w:r>
      <w:r w:rsidR="00351EBD">
        <w:rPr>
          <w:rFonts w:eastAsiaTheme="minorEastAsia"/>
        </w:rPr>
        <w:t>loss of most severe single contingency:</w:t>
      </w:r>
    </w:p>
    <w:p w:rsidR="007444A6" w:rsidP="007444A6" w:rsidRDefault="00BA0C6A" w14:paraId="7DD29DB3" w14:textId="7F87DD55">
      <w:pPr>
        <w:pStyle w:val="ListParagraph"/>
        <w:numPr>
          <w:ilvl w:val="0"/>
          <w:numId w:val="13"/>
        </w:numPr>
        <w:rPr>
          <w:rFonts w:eastAsiaTheme="minorEastAsia"/>
        </w:rPr>
      </w:pPr>
      <w:r>
        <w:rPr>
          <w:rFonts w:eastAsiaTheme="minorEastAsia"/>
        </w:rPr>
        <w:t>“</w:t>
      </w:r>
      <w:r>
        <w:t>In addition to contingency reserves, which must be available in case of a sudden forced outage, the standards require regulation reserves, which is generation connected to the balancing authority’s AGC system. The standards do not require any specific megawatt or percentage level of regulation reserves.</w:t>
      </w:r>
      <w:r w:rsidR="00356550">
        <w:t xml:space="preserve"> Rather, they require that the balancing authority hold a sufficient amount so that its ACE can be controlled within the required limits</w:t>
      </w:r>
      <w:r>
        <w:rPr>
          <w:rFonts w:eastAsiaTheme="minorEastAsia"/>
        </w:rPr>
        <w:t>”</w:t>
      </w:r>
    </w:p>
    <w:p w:rsidR="00165021" w:rsidP="007444A6" w:rsidRDefault="00165021" w14:paraId="0E660B8B" w14:textId="0ABB5E57">
      <w:pPr>
        <w:pStyle w:val="ListParagraph"/>
        <w:numPr>
          <w:ilvl w:val="0"/>
          <w:numId w:val="13"/>
        </w:numPr>
        <w:rPr>
          <w:rFonts w:eastAsiaTheme="minorEastAsia"/>
        </w:rPr>
      </w:pPr>
      <w:r>
        <w:rPr>
          <w:rFonts w:eastAsiaTheme="minorEastAsia"/>
        </w:rPr>
        <w:t xml:space="preserve">Follow up: </w:t>
      </w:r>
      <w:hyperlink w:history="1" r:id="rId13">
        <w:r w:rsidRPr="00E57CF7">
          <w:rPr>
            <w:rStyle w:val="Hyperlink"/>
            <w:rFonts w:eastAsiaTheme="minorEastAsia"/>
          </w:rPr>
          <w:t>https://www.nrel.gov/docs/fy11osti/51978.pdf</w:t>
        </w:r>
      </w:hyperlink>
    </w:p>
    <w:p w:rsidR="006A5CEF" w:rsidP="007444A6" w:rsidRDefault="006A5CEF" w14:paraId="0459F04E" w14:textId="0B00C1A1">
      <w:pPr>
        <w:pStyle w:val="ListParagraph"/>
        <w:numPr>
          <w:ilvl w:val="0"/>
          <w:numId w:val="13"/>
        </w:numPr>
        <w:rPr>
          <w:rFonts w:eastAsiaTheme="minorEastAsia"/>
        </w:rPr>
      </w:pPr>
      <w:r>
        <w:rPr>
          <w:rFonts w:eastAsiaTheme="minorEastAsia"/>
        </w:rPr>
        <w:t xml:space="preserve">Follow-up: </w:t>
      </w:r>
      <w:hyperlink w:history="1" r:id="rId14">
        <w:r w:rsidRPr="00E57CF7">
          <w:rPr>
            <w:rStyle w:val="Hyperlink"/>
            <w:rFonts w:eastAsiaTheme="minorEastAsia"/>
          </w:rPr>
          <w:t>https://ieeexplore-ieee-org.proxy.lib.sfu.ca/abstract/document/6299425</w:t>
        </w:r>
      </w:hyperlink>
    </w:p>
    <w:p w:rsidR="007444A6" w:rsidP="00134C42" w:rsidRDefault="00F966F4" w14:paraId="183EC61A" w14:textId="42F7B3B3">
      <w:pPr>
        <w:pStyle w:val="Heading2"/>
        <w:rPr>
          <w:rFonts w:eastAsiaTheme="minorEastAsia"/>
        </w:rPr>
      </w:pPr>
      <w:r w:rsidRPr="00985CEF">
        <w:rPr>
          <w:rFonts w:eastAsiaTheme="minorEastAsia"/>
        </w:rPr>
        <w:t xml:space="preserve">A review of operating reserves in power systems with high penetration </w:t>
      </w:r>
      <w:r w:rsidRPr="00985CEF" w:rsidR="00985CEF">
        <w:rPr>
          <w:rFonts w:eastAsiaTheme="minorEastAsia"/>
        </w:rPr>
        <w:t>of RES</w:t>
      </w:r>
      <w:r w:rsidR="00BD6963">
        <w:rPr>
          <w:rFonts w:eastAsiaTheme="minorEastAsia"/>
        </w:rPr>
        <w:t xml:space="preserve"> </w:t>
      </w:r>
      <w:r w:rsidR="00BD6963">
        <w:rPr>
          <w:rFonts w:eastAsiaTheme="minorEastAsia"/>
        </w:rPr>
        <w:fldChar w:fldCharType="begin"/>
      </w:r>
      <w:r w:rsidR="00BD6963">
        <w:rPr>
          <w:rFonts w:eastAsiaTheme="minorEastAsia"/>
        </w:rPr>
        <w:instrText xml:space="preserve"> ADDIN ZOTERO_ITEM CSL_CITATION {"citationID":"nBMWATXp","properties":{"formattedCitation":"[11]","plainCitation":"[11]","noteIndex":0},"citationItems":[{"id":5864,"uris":["http://zotero.org/users/9057300/items/UHWMF8ML"],"itemData":{"id":5864,"type":"paper-conference","abstract":"Electric power systems (EPS) are greatly impacted by renewable energy sources (RES) in modern days due to the environmental advantages that they bring when compared to conventional generation technologies, but it is well known that they also bring challenges to the operation and planning of the EPS due to the inherent uncertainties of weather conditions, low inertia, among others. This negatively impacts the reliability of the EPS and the effects of such uncertainties increase as the level of RES penetration rises. This problem is addressed by operators and planners with the operating reserves, that need to ensure the reliability of the EPS. This work presents a review of the current approaches found in the literature that address the problem of operating reserves in the context of operation and planning.","container-title":"2021 IEEE URUCON","DOI":"10.1109/URUCON53396.2021.9647308","event-title":"2021 IEEE URUCON","page":"194-199","source":"IEEE Xplore","title":"A Review of Operating Reserves in Power Systems with High Penetration of Renewable Energy Sources","author":[{"family":"Rafael Garcia","given":"T."},{"family":"Martinez","given":"Maximiliano"},{"family":"Mercado","given":"Pedro"}],"issued":{"date-parts":[["2021",11]]}}}],"schema":"https://github.com/citation-style-language/schema/raw/master/csl-citation.json"} </w:instrText>
      </w:r>
      <w:r w:rsidR="00BD6963">
        <w:rPr>
          <w:rFonts w:eastAsiaTheme="minorEastAsia"/>
        </w:rPr>
        <w:fldChar w:fldCharType="separate"/>
      </w:r>
      <w:r w:rsidRPr="00BD6963" w:rsidR="00BD6963">
        <w:rPr>
          <w:rFonts w:ascii="Calibri Light" w:hAnsi="Calibri Light" w:cs="Calibri Light"/>
        </w:rPr>
        <w:t>[11]</w:t>
      </w:r>
      <w:r w:rsidR="00BD6963">
        <w:rPr>
          <w:rFonts w:eastAsiaTheme="minorEastAsia"/>
        </w:rPr>
        <w:fldChar w:fldCharType="end"/>
      </w:r>
      <w:r w:rsidR="00985CEF">
        <w:rPr>
          <w:rFonts w:eastAsiaTheme="minorEastAsia"/>
        </w:rPr>
        <w:t>:</w:t>
      </w:r>
    </w:p>
    <w:p w:rsidR="00985CEF" w:rsidP="007444A6" w:rsidRDefault="00D73B98" w14:paraId="21252393" w14:textId="6B75EA1E">
      <w:pPr>
        <w:rPr>
          <w:rFonts w:eastAsiaTheme="minorEastAsia"/>
        </w:rPr>
      </w:pPr>
      <w:r>
        <w:rPr>
          <w:rFonts w:eastAsiaTheme="minorEastAsia"/>
        </w:rPr>
        <w:t>This paper presented endogenous vs exogenous reserve sizing. It also discussed following characteristics of reserve sizing</w:t>
      </w:r>
      <w:r w:rsidR="001819D0">
        <w:rPr>
          <w:rFonts w:eastAsiaTheme="minorEastAsia"/>
        </w:rPr>
        <w:t>, this was for operational models.</w:t>
      </w:r>
    </w:p>
    <w:p w:rsidR="00D73B98" w:rsidP="00D73B98" w:rsidRDefault="00347D8A" w14:paraId="037801BD" w14:textId="61C282B2">
      <w:pPr>
        <w:pStyle w:val="ListParagraph"/>
        <w:numPr>
          <w:ilvl w:val="0"/>
          <w:numId w:val="14"/>
        </w:numPr>
        <w:rPr>
          <w:rFonts w:eastAsiaTheme="minorEastAsia"/>
        </w:rPr>
      </w:pPr>
      <w:r>
        <w:rPr>
          <w:rFonts w:eastAsiaTheme="minorEastAsia"/>
        </w:rPr>
        <w:t>Heuristics</w:t>
      </w:r>
      <w:r w:rsidR="00D73B98">
        <w:rPr>
          <w:rFonts w:eastAsiaTheme="minorEastAsia"/>
        </w:rPr>
        <w:t>:</w:t>
      </w:r>
    </w:p>
    <w:p w:rsidR="00D73B98" w:rsidP="00D73B98" w:rsidRDefault="00AF39BE" w14:paraId="5B87F481" w14:textId="5DB433AD">
      <w:pPr>
        <w:pStyle w:val="ListParagraph"/>
        <w:numPr>
          <w:ilvl w:val="1"/>
          <w:numId w:val="14"/>
        </w:numPr>
        <w:rPr>
          <w:rFonts w:eastAsiaTheme="minorEastAsia"/>
        </w:rPr>
      </w:pPr>
      <w:r>
        <w:rPr>
          <w:rFonts w:eastAsiaTheme="minorEastAsia"/>
        </w:rPr>
        <w:t>N-1 Criteria</w:t>
      </w:r>
    </w:p>
    <w:p w:rsidR="00AF39BE" w:rsidP="00D73B98" w:rsidRDefault="00AF39BE" w14:paraId="64E931E8" w14:textId="336C9030">
      <w:pPr>
        <w:pStyle w:val="ListParagraph"/>
        <w:numPr>
          <w:ilvl w:val="1"/>
          <w:numId w:val="14"/>
        </w:numPr>
        <w:rPr>
          <w:rFonts w:eastAsiaTheme="minorEastAsia"/>
        </w:rPr>
      </w:pPr>
      <w:r>
        <w:rPr>
          <w:rFonts w:eastAsiaTheme="minorEastAsia"/>
        </w:rPr>
        <w:t>% of load</w:t>
      </w:r>
    </w:p>
    <w:p w:rsidR="00D73B98" w:rsidP="00D73B98" w:rsidRDefault="00AF39BE" w14:paraId="5FF226CD" w14:textId="34777CD9">
      <w:pPr>
        <w:pStyle w:val="ListParagraph"/>
        <w:numPr>
          <w:ilvl w:val="0"/>
          <w:numId w:val="14"/>
        </w:numPr>
        <w:rPr>
          <w:rFonts w:eastAsiaTheme="minorEastAsia"/>
        </w:rPr>
      </w:pPr>
      <w:r>
        <w:rPr>
          <w:rFonts w:eastAsiaTheme="minorEastAsia"/>
        </w:rPr>
        <w:t>Probabilistic</w:t>
      </w:r>
      <w:r w:rsidR="00D73B98">
        <w:rPr>
          <w:rFonts w:eastAsiaTheme="minorEastAsia"/>
        </w:rPr>
        <w:t>:</w:t>
      </w:r>
    </w:p>
    <w:p w:rsidR="00AF39BE" w:rsidP="00AF39BE" w:rsidRDefault="00AF39BE" w14:paraId="1F3AA4F7" w14:textId="60FD8435">
      <w:pPr>
        <w:pStyle w:val="ListParagraph"/>
        <w:numPr>
          <w:ilvl w:val="1"/>
          <w:numId w:val="14"/>
        </w:numPr>
        <w:rPr>
          <w:rFonts w:eastAsiaTheme="minorEastAsia"/>
        </w:rPr>
      </w:pPr>
      <w:r>
        <w:rPr>
          <w:rFonts w:eastAsiaTheme="minorEastAsia"/>
        </w:rPr>
        <w:t>LOLP</w:t>
      </w:r>
    </w:p>
    <w:p w:rsidR="00AF39BE" w:rsidP="00AF39BE" w:rsidRDefault="00AF39BE" w14:paraId="620CFEC6" w14:textId="54A2199E">
      <w:pPr>
        <w:pStyle w:val="ListParagraph"/>
        <w:numPr>
          <w:ilvl w:val="1"/>
          <w:numId w:val="14"/>
        </w:numPr>
        <w:rPr>
          <w:rFonts w:eastAsiaTheme="minorEastAsia"/>
        </w:rPr>
      </w:pPr>
      <w:r>
        <w:rPr>
          <w:rFonts w:eastAsiaTheme="minorEastAsia"/>
        </w:rPr>
        <w:t>EENS</w:t>
      </w:r>
    </w:p>
    <w:p w:rsidR="00AF39BE" w:rsidP="00AF39BE" w:rsidRDefault="00347D8A" w14:paraId="2C084BD9" w14:textId="75B776FA">
      <w:pPr>
        <w:pStyle w:val="ListParagraph"/>
        <w:numPr>
          <w:ilvl w:val="1"/>
          <w:numId w:val="14"/>
        </w:numPr>
        <w:rPr>
          <w:rFonts w:eastAsiaTheme="minorEastAsia"/>
        </w:rPr>
      </w:pPr>
      <w:r>
        <w:rPr>
          <w:rFonts w:eastAsiaTheme="minorEastAsia"/>
        </w:rPr>
        <w:t>Depends on VOLL</w:t>
      </w:r>
    </w:p>
    <w:p w:rsidRPr="00F51BA1" w:rsidR="00F51BA1" w:rsidP="00F51BA1" w:rsidRDefault="00347D8A" w14:paraId="60900C06" w14:textId="7DBC5E97">
      <w:pPr>
        <w:pStyle w:val="ListParagraph"/>
        <w:numPr>
          <w:ilvl w:val="0"/>
          <w:numId w:val="14"/>
        </w:numPr>
        <w:rPr>
          <w:rFonts w:eastAsiaTheme="minorEastAsia"/>
        </w:rPr>
      </w:pPr>
      <w:r>
        <w:rPr>
          <w:rFonts w:eastAsiaTheme="minorEastAsia"/>
        </w:rPr>
        <w:t xml:space="preserve">Stochastic or deterministic model formulations can use the </w:t>
      </w:r>
      <w:r w:rsidR="00134C42">
        <w:rPr>
          <w:rFonts w:eastAsiaTheme="minorEastAsia"/>
        </w:rPr>
        <w:t>probabilistic based metrics</w:t>
      </w:r>
      <w:r w:rsidR="00F51BA1">
        <w:rPr>
          <w:rFonts w:eastAsiaTheme="minorEastAsia"/>
        </w:rPr>
        <w:t>:</w:t>
      </w:r>
    </w:p>
    <w:p w:rsidR="00B94466" w:rsidP="00D73B98" w:rsidRDefault="00B94466" w14:paraId="6A54FA0F" w14:textId="72B77B3B">
      <w:pPr>
        <w:pStyle w:val="ListParagraph"/>
        <w:numPr>
          <w:ilvl w:val="0"/>
          <w:numId w:val="14"/>
        </w:numPr>
        <w:rPr>
          <w:rFonts w:eastAsiaTheme="minorEastAsia"/>
        </w:rPr>
      </w:pPr>
      <w:r>
        <w:rPr>
          <w:rFonts w:eastAsiaTheme="minorEastAsia"/>
        </w:rPr>
        <w:t>Time of deployment consideration:</w:t>
      </w:r>
    </w:p>
    <w:p w:rsidR="00B94466" w:rsidP="00B94466" w:rsidRDefault="00B94466" w14:paraId="58C3BE1F" w14:textId="473CEC37">
      <w:pPr>
        <w:pStyle w:val="ListParagraph"/>
        <w:numPr>
          <w:ilvl w:val="1"/>
          <w:numId w:val="14"/>
        </w:numPr>
        <w:rPr>
          <w:rFonts w:eastAsiaTheme="minorEastAsia"/>
        </w:rPr>
      </w:pPr>
      <w:r>
        <w:rPr>
          <w:rFonts w:eastAsiaTheme="minorEastAsia"/>
        </w:rPr>
        <w:t>Primary reserves (</w:t>
      </w:r>
      <w:r w:rsidR="00AF39BE">
        <w:rPr>
          <w:rFonts w:eastAsiaTheme="minorEastAsia"/>
        </w:rPr>
        <w:t>5-10 seconds for at</w:t>
      </w:r>
      <w:r w:rsidR="001819D0">
        <w:rPr>
          <w:rFonts w:eastAsiaTheme="minorEastAsia"/>
        </w:rPr>
        <w:t xml:space="preserve"> </w:t>
      </w:r>
      <w:r w:rsidR="00AF39BE">
        <w:rPr>
          <w:rFonts w:eastAsiaTheme="minorEastAsia"/>
        </w:rPr>
        <w:t>least 5 minutes)</w:t>
      </w:r>
    </w:p>
    <w:p w:rsidR="00B94466" w:rsidP="00B94466" w:rsidRDefault="00B94466" w14:paraId="42884426" w14:textId="6B90992E">
      <w:pPr>
        <w:pStyle w:val="ListParagraph"/>
        <w:numPr>
          <w:ilvl w:val="1"/>
          <w:numId w:val="14"/>
        </w:numPr>
        <w:rPr>
          <w:rFonts w:eastAsiaTheme="minorEastAsia"/>
        </w:rPr>
      </w:pPr>
      <w:r>
        <w:rPr>
          <w:rFonts w:eastAsiaTheme="minorEastAsia"/>
        </w:rPr>
        <w:t>Secondary reserves</w:t>
      </w:r>
      <w:r w:rsidR="00AF39BE">
        <w:rPr>
          <w:rFonts w:eastAsiaTheme="minorEastAsia"/>
        </w:rPr>
        <w:t xml:space="preserve"> (~5 minutes for 30 to 60 minutes)</w:t>
      </w:r>
    </w:p>
    <w:p w:rsidRPr="001819D0" w:rsidR="00681A2A" w:rsidP="00A81690" w:rsidRDefault="00B94466" w14:paraId="5E49404C" w14:textId="71E92612">
      <w:pPr>
        <w:pStyle w:val="ListParagraph"/>
        <w:numPr>
          <w:ilvl w:val="1"/>
          <w:numId w:val="14"/>
        </w:numPr>
        <w:rPr>
          <w:rFonts w:eastAsiaTheme="minorEastAsia"/>
        </w:rPr>
      </w:pPr>
      <w:r>
        <w:rPr>
          <w:rFonts w:eastAsiaTheme="minorEastAsia"/>
        </w:rPr>
        <w:t>Tertiary reserves</w:t>
      </w:r>
      <w:r w:rsidR="00AF39BE">
        <w:rPr>
          <w:rFonts w:eastAsiaTheme="minorEastAsia"/>
        </w:rPr>
        <w:t xml:space="preserve"> (non-spinning)</w:t>
      </w:r>
    </w:p>
    <w:p w:rsidR="00BD6963" w:rsidP="00BD6963" w:rsidRDefault="00F669C7" w14:paraId="3AA66EE8" w14:textId="341C09EC">
      <w:pPr>
        <w:pStyle w:val="Heading2"/>
        <w:rPr>
          <w:rFonts w:eastAsiaTheme="minorEastAsia"/>
        </w:rPr>
      </w:pPr>
      <w:r>
        <w:rPr>
          <w:rFonts w:eastAsiaTheme="minorEastAsia"/>
        </w:rPr>
        <w:t>An endogenous Approach to Quantifying Wind Power Reserve</w:t>
      </w:r>
      <w:r w:rsidR="00BB25CD">
        <w:rPr>
          <w:rFonts w:eastAsiaTheme="minorEastAsia"/>
        </w:rPr>
        <w:t xml:space="preserve"> </w:t>
      </w:r>
      <w:r w:rsidR="00BB25CD">
        <w:rPr>
          <w:rFonts w:eastAsiaTheme="minorEastAsia"/>
        </w:rPr>
        <w:fldChar w:fldCharType="begin"/>
      </w:r>
      <w:r w:rsidR="00BB25CD">
        <w:rPr>
          <w:rFonts w:eastAsiaTheme="minorEastAsia"/>
        </w:rPr>
        <w:instrText xml:space="preserve"> ADDIN ZOTERO_ITEM CSL_CITATION {"citationID":"cItt4vMo","properties":{"formattedCitation":"[12]","plainCitation":"[12]","noteIndex":0},"citationItems":[{"id":5889,"uris":["http://zotero.org/users/9057300/items/AQYHIM3Y"],"itemData":{"id":5889,"type":"article-journal","abstract":"Due to inherent uncertainty and volatility, large-scale wind power integration requires additional reserves for power balancing. However, it remains an open question as to how to quantify the required reserves corresponding to different uncertainties and penetration scales of wind power. This paper addresses this problem with an improved endogenous reserve determination method. Multiple uncertainties, including wind power outputs, load fluctuations, and generator failures, especially power flow uncertainties caused by wind power fluctuations and generator faults, are comprehensively integrated into a security and network-constrained economic dispatch (S&amp;NCED) model to jointly schedule the generation and reserve. Affinely adjustable robust optimization (AARO) is adopted to address wind power and load uncertainties. Then the model is transformed into a two-stage (normal state optimization and fault verification) S&amp;NCED model for iterative solving with the aid of Benders decomposition, and auxiliary constraints are designed to accelerate the convergence. Results of 6-bus and IEEE118-bus systems show that the proposed method can effectively provide a more economical and robust generation-reserve dispatch scheme and can clearly specify the reserve capacity required by wind power.","container-title":"IEEE Transactions on Power Systems","DOI":"10.1109/TPWRS.2019.2954844","ISSN":"1558-0679","issue":"3","note":"event-title: IEEE Transactions on Power Systems","page":"2431-2442","source":"IEEE Xplore","title":"An Endogenous Approach to Quantifying the Wind Power Reserve","volume":"35","author":[{"family":"Huang","given":"Hanyan"},{"family":"Zhou","given":"Ming"},{"family":"Li","given":"Gengyin"}],"issued":{"date-parts":[["2020",5]]}}}],"schema":"https://github.com/citation-style-language/schema/raw/master/csl-citation.json"} </w:instrText>
      </w:r>
      <w:r w:rsidR="00BB25CD">
        <w:rPr>
          <w:rFonts w:eastAsiaTheme="minorEastAsia"/>
        </w:rPr>
        <w:fldChar w:fldCharType="separate"/>
      </w:r>
      <w:r w:rsidRPr="00BB25CD" w:rsidR="00BB25CD">
        <w:rPr>
          <w:rFonts w:ascii="Calibri Light" w:hAnsi="Calibri Light" w:cs="Calibri Light"/>
        </w:rPr>
        <w:t>[12]</w:t>
      </w:r>
      <w:r w:rsidR="00BB25CD">
        <w:rPr>
          <w:rFonts w:eastAsiaTheme="minorEastAsia"/>
        </w:rPr>
        <w:fldChar w:fldCharType="end"/>
      </w:r>
      <w:r w:rsidR="00BD6963">
        <w:rPr>
          <w:rFonts w:eastAsiaTheme="minorEastAsia"/>
        </w:rPr>
        <w:t>:</w:t>
      </w:r>
    </w:p>
    <w:p w:rsidRPr="00B221E9" w:rsidR="00BB25CD" w:rsidP="00BB25CD" w:rsidRDefault="00B221E9" w14:paraId="7411EC42" w14:textId="169B9E4A">
      <w:pPr>
        <w:rPr>
          <w:color w:val="FF0000"/>
        </w:rPr>
      </w:pPr>
      <w:r w:rsidRPr="00B221E9">
        <w:rPr>
          <w:color w:val="FF0000"/>
        </w:rPr>
        <w:t>To do</w:t>
      </w:r>
    </w:p>
    <w:p w:rsidR="00046FB1" w:rsidP="00A81690" w:rsidRDefault="00046FB1" w14:paraId="0923689C" w14:textId="77777777">
      <w:pPr>
        <w:rPr>
          <w:rFonts w:eastAsiaTheme="minorEastAsia"/>
        </w:rPr>
      </w:pPr>
    </w:p>
    <w:p w:rsidR="00B221E9" w:rsidP="00CD51BB" w:rsidRDefault="00AA2737" w14:paraId="04923CEE" w14:textId="7031BE97">
      <w:pPr>
        <w:pStyle w:val="Heading2"/>
        <w:rPr>
          <w:rFonts w:eastAsiaTheme="minorEastAsia"/>
        </w:rPr>
      </w:pPr>
      <w:r>
        <w:rPr>
          <w:rFonts w:eastAsiaTheme="minorEastAsia"/>
        </w:rPr>
        <w:t xml:space="preserve">Quantifying Spinning Reserve in Systems </w:t>
      </w:r>
      <w:r w:rsidR="00B221E9">
        <w:rPr>
          <w:rFonts w:eastAsiaTheme="minorEastAsia"/>
        </w:rPr>
        <w:t>with</w:t>
      </w:r>
      <w:r>
        <w:rPr>
          <w:rFonts w:eastAsiaTheme="minorEastAsia"/>
        </w:rPr>
        <w:t xml:space="preserve"> Significant Wind Power Penetration</w:t>
      </w:r>
      <w:r w:rsidR="00B221E9">
        <w:rPr>
          <w:rFonts w:eastAsiaTheme="minorEastAsia"/>
        </w:rPr>
        <w:t xml:space="preserve"> </w:t>
      </w:r>
      <w:r w:rsidR="00B221E9">
        <w:rPr>
          <w:rFonts w:eastAsiaTheme="minorEastAsia"/>
        </w:rPr>
        <w:fldChar w:fldCharType="begin"/>
      </w:r>
      <w:r w:rsidR="00B221E9">
        <w:rPr>
          <w:rFonts w:eastAsiaTheme="minorEastAsia"/>
        </w:rPr>
        <w:instrText xml:space="preserve"> ADDIN ZOTERO_ITEM CSL_CITATION {"citationID":"TdypFrOS","properties":{"formattedCitation":"[13]","plainCitation":"[13]","noteIndex":0},"citationItems":[{"id":5862,"uris":["http://zotero.org/users/9057300/items/TUQGB95D"],"itemData":{"id":5862,"type":"article-journal","abstract":"The traditional unit commitment and economic dispatch approaches with deterministic spinning reserve requirements are inadequate given the intermittency and unpredictability of wind power generation. Alternative power system scheduling methods capable of aggregating the uncertainty of wind power, while maintaining reliable and economic performance, need to be investigated. In this paper, a probabilistic model of security-constrained unit commitment is proposed to minimize the cost of energy, spinning reserve and possible loss of load. A new formulation of expected energy not served considering the probability distribution of forecast errors of wind and load, as well as outage replacement rates of various generators is presented. The proposed method is solved by mixed integer linear programming. Numerical simulations on the IEEE Reliability Test System show the effectiveness of the method. The relationships of uncertainties and required spinning reserves are verified.","container-title":"IEEE Transactions on Power Systems","DOI":"10.1109/TPWRS.2012.2207465","ISSN":"1558-0679","issue":"4","note":"event-title: IEEE Transactions on Power Systems","page":"2385-2393","source":"IEEE Xplore","title":"Quantifying Spinning Reserve in Systems With Significant Wind Power Penetration","volume":"27","author":[{"family":"Liu","given":"Guodong"},{"family":"Tomsovic","given":"Kevin"}],"issued":{"date-parts":[["2012",11]]}}}],"schema":"https://github.com/citation-style-language/schema/raw/master/csl-citation.json"} </w:instrText>
      </w:r>
      <w:r w:rsidR="00B221E9">
        <w:rPr>
          <w:rFonts w:eastAsiaTheme="minorEastAsia"/>
        </w:rPr>
        <w:fldChar w:fldCharType="separate"/>
      </w:r>
      <w:r w:rsidRPr="00CD51BB" w:rsidR="00B221E9">
        <w:rPr>
          <w:rFonts w:eastAsiaTheme="minorEastAsia"/>
        </w:rPr>
        <w:t>[13]</w:t>
      </w:r>
      <w:r w:rsidR="00B221E9">
        <w:rPr>
          <w:rFonts w:eastAsiaTheme="minorEastAsia"/>
        </w:rPr>
        <w:fldChar w:fldCharType="end"/>
      </w:r>
      <w:r w:rsidR="00B221E9">
        <w:rPr>
          <w:rFonts w:eastAsiaTheme="minorEastAsia"/>
        </w:rPr>
        <w:t xml:space="preserve">: </w:t>
      </w:r>
    </w:p>
    <w:p w:rsidR="00CD51BB" w:rsidP="00A81690" w:rsidRDefault="00B221E9" w14:paraId="5932B73D" w14:textId="77777777">
      <w:pPr>
        <w:rPr>
          <w:rFonts w:eastAsiaTheme="minorEastAsia"/>
          <w:color w:val="FF0000"/>
        </w:rPr>
      </w:pPr>
      <w:r w:rsidRPr="00B221E9">
        <w:rPr>
          <w:rFonts w:eastAsiaTheme="minorEastAsia"/>
          <w:color w:val="FF0000"/>
        </w:rPr>
        <w:t>To do</w:t>
      </w:r>
    </w:p>
    <w:p w:rsidR="00212E12" w:rsidP="00A81690" w:rsidRDefault="000C2214" w14:paraId="110D688D" w14:textId="77777777">
      <w:pPr>
        <w:rPr>
          <w:rFonts w:asciiTheme="majorHAnsi" w:hAnsiTheme="majorHAnsi" w:eastAsiaTheme="minorEastAsia" w:cstheme="majorBidi"/>
          <w:color w:val="2F5496" w:themeColor="accent1" w:themeShade="BF"/>
          <w:sz w:val="26"/>
          <w:szCs w:val="26"/>
        </w:rPr>
      </w:pPr>
      <w:r w:rsidRPr="00212E12">
        <w:rPr>
          <w:rFonts w:asciiTheme="majorHAnsi" w:hAnsiTheme="majorHAnsi" w:eastAsiaTheme="minorEastAsia" w:cstheme="majorBidi"/>
          <w:color w:val="2F5496" w:themeColor="accent1" w:themeShade="BF"/>
          <w:sz w:val="26"/>
          <w:szCs w:val="26"/>
        </w:rPr>
        <w:t xml:space="preserve">The Value of Operation Flexibility in Power Systems with Significant Wind Power Generation </w:t>
      </w:r>
      <w:r w:rsidRPr="00212E12">
        <w:rPr>
          <w:rFonts w:asciiTheme="majorHAnsi" w:hAnsiTheme="majorHAnsi" w:eastAsiaTheme="minorEastAsia" w:cstheme="majorBidi"/>
          <w:color w:val="2F5496" w:themeColor="accent1" w:themeShade="BF"/>
          <w:sz w:val="26"/>
          <w:szCs w:val="26"/>
        </w:rPr>
        <w:fldChar w:fldCharType="begin"/>
      </w:r>
      <w:r w:rsidRPr="00212E12">
        <w:rPr>
          <w:rFonts w:asciiTheme="majorHAnsi" w:hAnsiTheme="majorHAnsi" w:eastAsiaTheme="minorEastAsia" w:cstheme="majorBidi"/>
          <w:color w:val="2F5496" w:themeColor="accent1" w:themeShade="BF"/>
          <w:sz w:val="26"/>
          <w:szCs w:val="26"/>
        </w:rPr>
        <w:instrText xml:space="preserve"> ADDIN ZOTERO_ITEM CSL_CITATION {"citationID":"LhsWVtg3","properties":{"formattedCitation":"[14]","plainCitation":"[14]","noteIndex":0},"citationItems":[{"id":5348,"uris":["http://zotero.org/users/9057300/items/SK9NH39Y"],"itemData":{"id":5348,"type":"paper-conference","abstract":"There is a growing body of evidence demonstrating how large penetrations of wind power generation in power systems contribute to increase the cost and the complexity of grid operations. Those costs and increased complexity are directly linked to the random nature of the wind over time, which requires system operators to carry more reserve capacity to cope with that randomness if current security and reliability standards are to be maintained. Moreover, as the frequency spectrum of the wind generation random process is relatively wide (from 10-6 to about slightly above 1 Hz), the reserves available must be capable to be deployed fast enough to counter this variability. Therefore, in systems with significant wind power penetrations the security-constrained unit commitment programs should be capable of capturing the reserve capacity deployment requirements entailed by the random wind dynamics. More fundamentally, however, what is required is that the dispatchable portion of the generation system providing reserves is flexible enough. In other words, there must be enough flexible capacity available to ramp up and down so to shadow the wind's caprices. In this paper, we formulate a modification of the classic unit commitment formulation ot assess the value of such operational flexibility in power systems with large proportions of wind capacity. We discuss some economic and technical indicators of flexibility.","container-title":"2011 IEEE Power and Energy Society General Meeting","DOI":"10.1109/PES.2011.6039031","event-title":"2011 IEEE Power and Energy Society General Meeting","note":"ISSN: 1944-9925","page":"1-5","source":"IEEE Xplore","title":"The value of operational flexibility in power systems with significant wind power generation","author":[{"family":"Bouffard","given":"François"},{"family":"Ortega-Vazquez","given":"Miguel"}],"issued":{"date-parts":[["2011",7]]}}}],"schema":"https://github.com/citation-style-language/schema/raw/master/csl-citation.json"} </w:instrText>
      </w:r>
      <w:r w:rsidRPr="00212E12">
        <w:rPr>
          <w:rFonts w:asciiTheme="majorHAnsi" w:hAnsiTheme="majorHAnsi" w:eastAsiaTheme="minorEastAsia" w:cstheme="majorBidi"/>
          <w:color w:val="2F5496" w:themeColor="accent1" w:themeShade="BF"/>
          <w:sz w:val="26"/>
          <w:szCs w:val="26"/>
        </w:rPr>
        <w:fldChar w:fldCharType="separate"/>
      </w:r>
      <w:r w:rsidRPr="00212E12">
        <w:rPr>
          <w:rFonts w:asciiTheme="majorHAnsi" w:hAnsiTheme="majorHAnsi" w:eastAsiaTheme="minorEastAsia" w:cstheme="majorBidi"/>
          <w:color w:val="2F5496" w:themeColor="accent1" w:themeShade="BF"/>
          <w:sz w:val="26"/>
          <w:szCs w:val="26"/>
        </w:rPr>
        <w:t>[14]</w:t>
      </w:r>
      <w:r w:rsidRPr="00212E12">
        <w:rPr>
          <w:rFonts w:asciiTheme="majorHAnsi" w:hAnsiTheme="majorHAnsi" w:eastAsiaTheme="minorEastAsia" w:cstheme="majorBidi"/>
          <w:color w:val="2F5496" w:themeColor="accent1" w:themeShade="BF"/>
          <w:sz w:val="26"/>
          <w:szCs w:val="26"/>
        </w:rPr>
        <w:fldChar w:fldCharType="end"/>
      </w:r>
      <w:r w:rsidRPr="00212E12">
        <w:rPr>
          <w:rFonts w:asciiTheme="majorHAnsi" w:hAnsiTheme="majorHAnsi" w:eastAsiaTheme="minorEastAsia" w:cstheme="majorBidi"/>
          <w:color w:val="2F5496" w:themeColor="accent1" w:themeShade="BF"/>
          <w:sz w:val="26"/>
          <w:szCs w:val="26"/>
        </w:rPr>
        <w:t>:</w:t>
      </w:r>
    </w:p>
    <w:p w:rsidR="00212E12" w:rsidP="00212E12" w:rsidRDefault="00212E12" w14:paraId="69C5E070" w14:textId="77777777">
      <w:pPr>
        <w:rPr>
          <w:rFonts w:eastAsiaTheme="minorEastAsia"/>
          <w:color w:val="FF0000"/>
        </w:rPr>
      </w:pPr>
      <w:r w:rsidRPr="00B221E9">
        <w:rPr>
          <w:rFonts w:eastAsiaTheme="minorEastAsia"/>
          <w:color w:val="FF0000"/>
        </w:rPr>
        <w:t>To do</w:t>
      </w:r>
    </w:p>
    <w:p w:rsidR="00212E12" w:rsidP="00212E12" w:rsidRDefault="001D5FD5" w14:paraId="47A502EA" w14:textId="25FF4BBD">
      <w:pPr>
        <w:rPr>
          <w:rFonts w:asciiTheme="majorHAnsi" w:hAnsiTheme="majorHAnsi" w:eastAsiaTheme="minorEastAsia" w:cstheme="majorBidi"/>
          <w:color w:val="2F5496" w:themeColor="accent1" w:themeShade="BF"/>
          <w:sz w:val="26"/>
          <w:szCs w:val="26"/>
        </w:rPr>
      </w:pPr>
      <w:r w:rsidRPr="000538DF">
        <w:rPr>
          <w:rFonts w:asciiTheme="majorHAnsi" w:hAnsiTheme="majorHAnsi" w:eastAsiaTheme="minorEastAsia" w:cstheme="majorBidi"/>
          <w:color w:val="2F5496" w:themeColor="accent1" w:themeShade="BF"/>
          <w:sz w:val="26"/>
          <w:szCs w:val="26"/>
        </w:rPr>
        <w:t xml:space="preserve">Operating Reserves and Variable Generation (NREL) </w:t>
      </w:r>
      <w:r w:rsidRPr="000538DF">
        <w:rPr>
          <w:rFonts w:asciiTheme="majorHAnsi" w:hAnsiTheme="majorHAnsi" w:eastAsiaTheme="minorEastAsia" w:cstheme="majorBidi"/>
          <w:color w:val="2F5496" w:themeColor="accent1" w:themeShade="BF"/>
          <w:sz w:val="26"/>
          <w:szCs w:val="26"/>
        </w:rPr>
        <w:fldChar w:fldCharType="begin"/>
      </w:r>
      <w:r w:rsidRPr="000538DF">
        <w:rPr>
          <w:rFonts w:asciiTheme="majorHAnsi" w:hAnsiTheme="majorHAnsi" w:eastAsiaTheme="minorEastAsia" w:cstheme="majorBidi"/>
          <w:color w:val="2F5496" w:themeColor="accent1" w:themeShade="BF"/>
          <w:sz w:val="26"/>
          <w:szCs w:val="26"/>
        </w:rPr>
        <w:instrText xml:space="preserve"> ADDIN ZOTERO_ITEM CSL_CITATION {"citationID":"apLXdmkm","properties":{"formattedCitation":"[15]","plainCitation":"[15]","noteIndex":0},"citationItems":[{"id":5923,"uris":["http://zotero.org/users/9057300/items/TEG8JH8T"],"itemData":{"id":5923,"type":"report","language":"en","note":"DOI: 10.2172/1023095","number":"NREL/TP-5500-51978, 1023095","page":"NREL/TP-5500-51978, 1023095","source":"DOI.org (Crossref)","title":"Operating Reserves and Variable Generation","URL":"http://www.osti.gov/servlets/purl/1023095/","author":[{"family":"Ela","given":"E"},{"family":"Milligan","given":"M"},{"family":"Kirby","given":"B"}],"accessed":{"date-parts":[["2022",11,29]]},"issued":{"date-parts":[["2011",8,1]]}}}],"schema":"https://github.com/citation-style-language/schema/raw/master/csl-citation.json"} </w:instrText>
      </w:r>
      <w:r w:rsidRPr="000538DF">
        <w:rPr>
          <w:rFonts w:asciiTheme="majorHAnsi" w:hAnsiTheme="majorHAnsi" w:eastAsiaTheme="minorEastAsia" w:cstheme="majorBidi"/>
          <w:color w:val="2F5496" w:themeColor="accent1" w:themeShade="BF"/>
          <w:sz w:val="26"/>
          <w:szCs w:val="26"/>
        </w:rPr>
        <w:fldChar w:fldCharType="separate"/>
      </w:r>
      <w:r w:rsidRPr="000538DF">
        <w:rPr>
          <w:rFonts w:asciiTheme="majorHAnsi" w:hAnsiTheme="majorHAnsi" w:eastAsiaTheme="minorEastAsia" w:cstheme="majorBidi"/>
          <w:color w:val="2F5496" w:themeColor="accent1" w:themeShade="BF"/>
          <w:sz w:val="26"/>
          <w:szCs w:val="26"/>
        </w:rPr>
        <w:t>[15]</w:t>
      </w:r>
      <w:r w:rsidRPr="000538DF">
        <w:rPr>
          <w:rFonts w:asciiTheme="majorHAnsi" w:hAnsiTheme="majorHAnsi" w:eastAsiaTheme="minorEastAsia" w:cstheme="majorBidi"/>
          <w:color w:val="2F5496" w:themeColor="accent1" w:themeShade="BF"/>
          <w:sz w:val="26"/>
          <w:szCs w:val="26"/>
        </w:rPr>
        <w:fldChar w:fldCharType="end"/>
      </w:r>
      <w:r w:rsidR="00120BF4">
        <w:rPr>
          <w:rFonts w:asciiTheme="majorHAnsi" w:hAnsiTheme="majorHAnsi" w:eastAsiaTheme="minorEastAsia" w:cstheme="majorBidi"/>
          <w:color w:val="2F5496" w:themeColor="accent1" w:themeShade="BF"/>
          <w:sz w:val="26"/>
          <w:szCs w:val="26"/>
        </w:rPr>
        <w:t>:</w:t>
      </w:r>
    </w:p>
    <w:p w:rsidR="000D3BFC" w:rsidP="00212E12" w:rsidRDefault="000D3BFC" w14:paraId="43101A95" w14:textId="5977948A">
      <w:pPr>
        <w:rPr>
          <w:rFonts w:eastAsiaTheme="minorEastAsia"/>
        </w:rPr>
      </w:pPr>
      <w:r>
        <w:rPr>
          <w:rFonts w:eastAsiaTheme="minorEastAsia"/>
        </w:rPr>
        <w:t>In progress…</w:t>
      </w:r>
      <w:r w:rsidR="00CA401A">
        <w:rPr>
          <w:rFonts w:eastAsiaTheme="minorEastAsia"/>
        </w:rPr>
        <w:t xml:space="preserve"> (long but comprehensive review… looks promising)</w:t>
      </w:r>
    </w:p>
    <w:p w:rsidR="002C696D" w:rsidP="00212E12" w:rsidRDefault="002C696D" w14:paraId="2EAB0362" w14:textId="250A197C">
      <w:pPr>
        <w:rPr>
          <w:rFonts w:eastAsiaTheme="minorEastAsia"/>
        </w:rPr>
      </w:pPr>
      <w:r w:rsidRPr="002C696D">
        <w:rPr>
          <w:rFonts w:eastAsiaTheme="minorEastAsia"/>
          <w:b/>
          <w:bCs/>
        </w:rPr>
        <w:t>Regulation reserve</w:t>
      </w:r>
      <w:r>
        <w:rPr>
          <w:rFonts w:eastAsiaTheme="minorEastAsia"/>
        </w:rPr>
        <w:t>:</w:t>
      </w:r>
    </w:p>
    <w:p w:rsidR="003E308F" w:rsidP="00212E12" w:rsidRDefault="002C696D" w14:paraId="2C224525" w14:textId="02ECBC09">
      <w:pPr>
        <w:rPr>
          <w:rFonts w:eastAsiaTheme="minorEastAsia"/>
        </w:rPr>
      </w:pPr>
      <w:r>
        <w:rPr>
          <w:rFonts w:eastAsiaTheme="minorEastAsia"/>
        </w:rPr>
        <w:t xml:space="preserve">The regulation reserve is </w:t>
      </w:r>
      <w:r w:rsidR="003E308F">
        <w:rPr>
          <w:rFonts w:eastAsiaTheme="minorEastAsia"/>
        </w:rPr>
        <w:t>affected</w:t>
      </w:r>
      <w:r>
        <w:rPr>
          <w:rFonts w:eastAsiaTheme="minorEastAsia"/>
        </w:rPr>
        <w:t xml:space="preserve"> by variability and uncertainty and </w:t>
      </w:r>
      <w:r w:rsidR="00A57E00">
        <w:rPr>
          <w:rFonts w:eastAsiaTheme="minorEastAsia"/>
        </w:rPr>
        <w:t>these components</w:t>
      </w:r>
      <w:r>
        <w:rPr>
          <w:rFonts w:eastAsiaTheme="minorEastAsia"/>
        </w:rPr>
        <w:t xml:space="preserve"> might be able to decompose and size separately.</w:t>
      </w:r>
    </w:p>
    <w:p w:rsidRPr="00A57E00" w:rsidR="003E308F" w:rsidP="00212E12" w:rsidRDefault="002D6064" w14:paraId="4AA87FDD" w14:textId="7DDB63FE">
      <w:pPr>
        <w:rPr>
          <w:rFonts w:eastAsiaTheme="minorEastAsia"/>
        </w:rPr>
      </w:pPr>
      <m:oMathPara>
        <m:oMath>
          <m:r>
            <w:rPr>
              <w:rFonts w:ascii="Cambria Math" w:hAnsi="Cambria Math" w:eastAsiaTheme="minorEastAsia"/>
            </w:rPr>
            <m:t>Re</m:t>
          </m:r>
          <m:sSub>
            <m:sSubPr>
              <m:ctrlPr>
                <w:rPr>
                  <w:rFonts w:ascii="Cambria Math" w:hAnsi="Cambria Math" w:eastAsiaTheme="minorEastAsia"/>
                  <w:i/>
                </w:rPr>
              </m:ctrlPr>
            </m:sSubPr>
            <m:e>
              <m:r>
                <w:rPr>
                  <w:rFonts w:ascii="Cambria Math" w:hAnsi="Cambria Math" w:eastAsiaTheme="minorEastAsia"/>
                </w:rPr>
                <m:t>g</m:t>
              </m:r>
            </m:e>
            <m:sub>
              <m:r>
                <w:rPr>
                  <w:rFonts w:ascii="Cambria Math" w:hAnsi="Cambria Math" w:eastAsiaTheme="minorEastAsia"/>
                </w:rPr>
                <m:t>t</m:t>
              </m:r>
            </m:sub>
          </m:sSub>
          <m:r>
            <m:rPr>
              <m:scr m:val="double-struck"/>
            </m:rPr>
            <w:rPr>
              <w:rFonts w:ascii="Cambria Math" w:hAnsi="Cambria Math" w:eastAsiaTheme="minorEastAsia"/>
            </w:rPr>
            <m:t xml:space="preserve"> ∝ E</m:t>
          </m:r>
          <m:d>
            <m:dPr>
              <m:begChr m:val="["/>
              <m:endChr m:val="]"/>
              <m:ctrlPr>
                <w:rPr>
                  <w:rFonts w:ascii="Cambria Math" w:hAnsi="Cambria Math" w:eastAsiaTheme="minorEastAsia"/>
                  <w:i/>
                </w:rPr>
              </m:ctrlPr>
            </m:dPr>
            <m:e>
              <m:sSup>
                <m:sSupPr>
                  <m:ctrlPr>
                    <w:rPr>
                      <w:rFonts w:ascii="Cambria Math" w:hAnsi="Cambria Math" w:eastAsiaTheme="minorEastAsia"/>
                      <w:i/>
                    </w:rPr>
                  </m:ctrlPr>
                </m:sSupPr>
                <m:e>
                  <m:d>
                    <m:dPr>
                      <m:ctrlPr>
                        <w:rPr>
                          <w:rFonts w:ascii="Cambria Math" w:hAnsi="Cambria Math" w:eastAsiaTheme="minorEastAsia"/>
                          <w:i/>
                        </w:rPr>
                      </m:ctrlPr>
                    </m:dPr>
                    <m:e>
                      <m:sSubSup>
                        <m:sSubSupPr>
                          <m:ctrlPr>
                            <w:rPr>
                              <w:rFonts w:ascii="Cambria Math" w:hAnsi="Cambria Math" w:eastAsiaTheme="minorEastAsia"/>
                              <w:i/>
                            </w:rPr>
                          </m:ctrlPr>
                        </m:sSubSupPr>
                        <m:e>
                          <m:r>
                            <w:rPr>
                              <w:rFonts w:ascii="Cambria Math" w:hAnsi="Cambria Math" w:eastAsiaTheme="minorEastAsia"/>
                            </w:rPr>
                            <m:t>L</m:t>
                          </m:r>
                        </m:e>
                        <m:sub>
                          <m:r>
                            <w:rPr>
                              <w:rFonts w:ascii="Cambria Math" w:hAnsi="Cambria Math" w:eastAsiaTheme="minorEastAsia"/>
                            </w:rPr>
                            <m:t>t</m:t>
                          </m:r>
                        </m:sub>
                        <m:sup>
                          <m:r>
                            <w:rPr>
                              <w:rFonts w:ascii="Cambria Math" w:hAnsi="Cambria Math" w:eastAsiaTheme="minorEastAsia"/>
                            </w:rPr>
                            <m:t>avg</m:t>
                          </m:r>
                        </m:sup>
                      </m:sSubSup>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L</m:t>
                          </m:r>
                        </m:e>
                        <m:sub>
                          <m:r>
                            <w:rPr>
                              <w:rFonts w:ascii="Cambria Math" w:hAnsi="Cambria Math" w:eastAsiaTheme="minorEastAsia"/>
                            </w:rPr>
                            <m:t>t</m:t>
                          </m:r>
                        </m:sub>
                        <m:sup>
                          <m:r>
                            <w:rPr>
                              <w:rFonts w:ascii="Cambria Math" w:hAnsi="Cambria Math" w:eastAsiaTheme="minorEastAsia"/>
                            </w:rPr>
                            <m:t>For</m:t>
                          </m:r>
                        </m:sup>
                      </m:sSubSup>
                    </m:e>
                  </m:d>
                </m:e>
                <m:sup>
                  <m:r>
                    <w:rPr>
                      <w:rFonts w:ascii="Cambria Math" w:hAnsi="Cambria Math" w:eastAsiaTheme="minorEastAsia"/>
                    </w:rPr>
                    <m:t>2</m:t>
                  </m:r>
                </m:sup>
              </m:sSup>
            </m:e>
          </m:d>
          <m:r>
            <m:rPr>
              <m:scr m:val="double-struck"/>
            </m:rPr>
            <w:rPr>
              <w:rFonts w:ascii="Cambria Math" w:hAnsi="Cambria Math" w:eastAsiaTheme="minorEastAsia"/>
            </w:rPr>
            <m:t>+E</m:t>
          </m:r>
          <m:d>
            <m:dPr>
              <m:begChr m:val="["/>
              <m:endChr m:val="]"/>
              <m:ctrlPr>
                <w:rPr>
                  <w:rFonts w:ascii="Cambria Math" w:hAnsi="Cambria Math" w:eastAsiaTheme="minorEastAsia"/>
                  <w:i/>
                </w:rPr>
              </m:ctrlPr>
            </m:dPr>
            <m:e>
              <m:sSup>
                <m:sSupPr>
                  <m:ctrlPr>
                    <w:rPr>
                      <w:rFonts w:ascii="Cambria Math" w:hAnsi="Cambria Math" w:eastAsiaTheme="minorEastAsia"/>
                      <w:i/>
                    </w:rPr>
                  </m:ctrlPr>
                </m:sSupPr>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t</m:t>
                          </m:r>
                        </m:sub>
                      </m:sSub>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L</m:t>
                          </m:r>
                        </m:e>
                        <m:sub>
                          <m:r>
                            <w:rPr>
                              <w:rFonts w:ascii="Cambria Math" w:hAnsi="Cambria Math" w:eastAsiaTheme="minorEastAsia"/>
                            </w:rPr>
                            <m:t>t</m:t>
                          </m:r>
                        </m:sub>
                        <m:sup>
                          <m:r>
                            <w:rPr>
                              <w:rFonts w:ascii="Cambria Math" w:hAnsi="Cambria Math" w:eastAsiaTheme="minorEastAsia"/>
                            </w:rPr>
                            <m:t>avg</m:t>
                          </m:r>
                        </m:sup>
                      </m:sSubSup>
                    </m:e>
                  </m:d>
                </m:e>
                <m:sup>
                  <m:r>
                    <w:rPr>
                      <w:rFonts w:ascii="Cambria Math" w:hAnsi="Cambria Math" w:eastAsiaTheme="minorEastAsia"/>
                    </w:rPr>
                    <m:t>2</m:t>
                  </m:r>
                </m:sup>
              </m:sSup>
            </m:e>
          </m:d>
        </m:oMath>
      </m:oMathPara>
    </w:p>
    <w:p w:rsidRPr="00A57E00" w:rsidR="00A57E00" w:rsidP="00212E12" w:rsidRDefault="00A57E00" w14:paraId="6C38D53C" w14:textId="248CB678">
      <w:pPr>
        <w:rPr>
          <w:rFonts w:eastAsiaTheme="minorEastAsia"/>
        </w:rPr>
      </w:pPr>
      <m:oMathPara>
        <m:oMath>
          <m:r>
            <w:rPr>
              <w:rFonts w:ascii="Cambria Math" w:hAnsi="Cambria Math" w:eastAsiaTheme="minorEastAsia"/>
            </w:rPr>
            <m:t>Variability component:</m:t>
          </m:r>
          <m:r>
            <m:rPr>
              <m:scr m:val="double-struck"/>
            </m:rPr>
            <w:rPr>
              <w:rFonts w:ascii="Cambria Math" w:hAnsi="Cambria Math" w:eastAsiaTheme="minorEastAsia"/>
            </w:rPr>
            <m:t>E</m:t>
          </m:r>
          <m:d>
            <m:dPr>
              <m:begChr m:val="["/>
              <m:endChr m:val="]"/>
              <m:ctrlPr>
                <w:rPr>
                  <w:rFonts w:ascii="Cambria Math" w:hAnsi="Cambria Math" w:eastAsiaTheme="minorEastAsia"/>
                  <w:i/>
                </w:rPr>
              </m:ctrlPr>
            </m:dPr>
            <m:e>
              <m:sSup>
                <m:sSupPr>
                  <m:ctrlPr>
                    <w:rPr>
                      <w:rFonts w:ascii="Cambria Math" w:hAnsi="Cambria Math" w:eastAsiaTheme="minorEastAsia"/>
                      <w:i/>
                    </w:rPr>
                  </m:ctrlPr>
                </m:sSupPr>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t</m:t>
                          </m:r>
                        </m:sub>
                      </m:sSub>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L</m:t>
                          </m:r>
                        </m:e>
                        <m:sub>
                          <m:r>
                            <w:rPr>
                              <w:rFonts w:ascii="Cambria Math" w:hAnsi="Cambria Math" w:eastAsiaTheme="minorEastAsia"/>
                            </w:rPr>
                            <m:t>t</m:t>
                          </m:r>
                        </m:sub>
                        <m:sup>
                          <m:r>
                            <w:rPr>
                              <w:rFonts w:ascii="Cambria Math" w:hAnsi="Cambria Math" w:eastAsiaTheme="minorEastAsia"/>
                            </w:rPr>
                            <m:t>avg</m:t>
                          </m:r>
                        </m:sup>
                      </m:sSubSup>
                    </m:e>
                  </m:d>
                </m:e>
                <m:sup>
                  <m:r>
                    <w:rPr>
                      <w:rFonts w:ascii="Cambria Math" w:hAnsi="Cambria Math" w:eastAsiaTheme="minorEastAsia"/>
                    </w:rPr>
                    <m:t>2</m:t>
                  </m:r>
                </m:sup>
              </m:sSup>
            </m:e>
          </m:d>
        </m:oMath>
      </m:oMathPara>
    </w:p>
    <w:p w:rsidRPr="00A57E00" w:rsidR="00A57E00" w:rsidP="00A57E00" w:rsidRDefault="00A57E00" w14:paraId="6F9BDB38" w14:textId="12092587">
      <w:pPr>
        <w:rPr>
          <w:rFonts w:eastAsiaTheme="minorEastAsia"/>
        </w:rPr>
      </w:pPr>
      <m:oMathPara>
        <m:oMath>
          <m:r>
            <w:rPr>
              <w:rFonts w:ascii="Cambria Math" w:hAnsi="Cambria Math" w:eastAsiaTheme="minorEastAsia"/>
            </w:rPr>
            <m:t xml:space="preserve">Uncertainty component: </m:t>
          </m:r>
          <m:r>
            <m:rPr>
              <m:scr m:val="double-struck"/>
            </m:rPr>
            <w:rPr>
              <w:rFonts w:ascii="Cambria Math" w:hAnsi="Cambria Math" w:eastAsiaTheme="minorEastAsia"/>
            </w:rPr>
            <m:t>E</m:t>
          </m:r>
          <m:d>
            <m:dPr>
              <m:begChr m:val="["/>
              <m:endChr m:val="]"/>
              <m:ctrlPr>
                <w:rPr>
                  <w:rFonts w:ascii="Cambria Math" w:hAnsi="Cambria Math" w:eastAsiaTheme="minorEastAsia"/>
                  <w:i/>
                </w:rPr>
              </m:ctrlPr>
            </m:dPr>
            <m:e>
              <m:sSup>
                <m:sSupPr>
                  <m:ctrlPr>
                    <w:rPr>
                      <w:rFonts w:ascii="Cambria Math" w:hAnsi="Cambria Math" w:eastAsiaTheme="minorEastAsia"/>
                      <w:i/>
                    </w:rPr>
                  </m:ctrlPr>
                </m:sSupPr>
                <m:e>
                  <m:d>
                    <m:dPr>
                      <m:ctrlPr>
                        <w:rPr>
                          <w:rFonts w:ascii="Cambria Math" w:hAnsi="Cambria Math" w:eastAsiaTheme="minorEastAsia"/>
                          <w:i/>
                        </w:rPr>
                      </m:ctrlPr>
                    </m:dPr>
                    <m:e>
                      <m:sSubSup>
                        <m:sSubSupPr>
                          <m:ctrlPr>
                            <w:rPr>
                              <w:rFonts w:ascii="Cambria Math" w:hAnsi="Cambria Math" w:eastAsiaTheme="minorEastAsia"/>
                              <w:i/>
                            </w:rPr>
                          </m:ctrlPr>
                        </m:sSubSupPr>
                        <m:e>
                          <m:r>
                            <w:rPr>
                              <w:rFonts w:ascii="Cambria Math" w:hAnsi="Cambria Math" w:eastAsiaTheme="minorEastAsia"/>
                            </w:rPr>
                            <m:t>L</m:t>
                          </m:r>
                        </m:e>
                        <m:sub>
                          <m:r>
                            <w:rPr>
                              <w:rFonts w:ascii="Cambria Math" w:hAnsi="Cambria Math" w:eastAsiaTheme="minorEastAsia"/>
                            </w:rPr>
                            <m:t>t</m:t>
                          </m:r>
                        </m:sub>
                        <m:sup>
                          <m:r>
                            <w:rPr>
                              <w:rFonts w:ascii="Cambria Math" w:hAnsi="Cambria Math" w:eastAsiaTheme="minorEastAsia"/>
                            </w:rPr>
                            <m:t>avg</m:t>
                          </m:r>
                        </m:sup>
                      </m:sSubSup>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L</m:t>
                          </m:r>
                        </m:e>
                        <m:sub>
                          <m:r>
                            <w:rPr>
                              <w:rFonts w:ascii="Cambria Math" w:hAnsi="Cambria Math" w:eastAsiaTheme="minorEastAsia"/>
                            </w:rPr>
                            <m:t>t</m:t>
                          </m:r>
                        </m:sub>
                        <m:sup>
                          <m:r>
                            <w:rPr>
                              <w:rFonts w:ascii="Cambria Math" w:hAnsi="Cambria Math" w:eastAsiaTheme="minorEastAsia"/>
                            </w:rPr>
                            <m:t>For</m:t>
                          </m:r>
                        </m:sup>
                      </m:sSubSup>
                    </m:e>
                  </m:d>
                </m:e>
                <m:sup>
                  <m:r>
                    <w:rPr>
                      <w:rFonts w:ascii="Cambria Math" w:hAnsi="Cambria Math" w:eastAsiaTheme="minorEastAsia"/>
                    </w:rPr>
                    <m:t>2</m:t>
                  </m:r>
                </m:sup>
              </m:sSup>
            </m:e>
          </m:d>
        </m:oMath>
      </m:oMathPara>
    </w:p>
    <w:p w:rsidRPr="00A57E00" w:rsidR="00A57E00" w:rsidP="00A57E00" w:rsidRDefault="00A57E00" w14:paraId="5CB3D0F4" w14:textId="77777777">
      <w:pPr>
        <w:rPr>
          <w:rFonts w:eastAsiaTheme="minorEastAsia"/>
        </w:rPr>
      </w:pPr>
    </w:p>
    <w:p w:rsidR="00A57E00" w:rsidP="00212E12" w:rsidRDefault="00F42FF1" w14:paraId="360AB496" w14:textId="432F3874">
      <w:pPr>
        <w:rPr>
          <w:rFonts w:eastAsiaTheme="minorEastAsia"/>
        </w:rPr>
      </w:pPr>
      <w:r w:rsidRPr="00F42FF1">
        <w:rPr>
          <w:rFonts w:eastAsiaTheme="minorEastAsia"/>
          <w:b/>
          <w:bCs/>
        </w:rPr>
        <w:t>Classification of Operating Reserves</w:t>
      </w:r>
      <w:r>
        <w:rPr>
          <w:rFonts w:eastAsiaTheme="minorEastAsia"/>
        </w:rPr>
        <w:t>:</w:t>
      </w:r>
    </w:p>
    <w:p w:rsidR="00F42FF1" w:rsidP="004865E8" w:rsidRDefault="004865E8" w14:paraId="54ABC042" w14:textId="54596D64">
      <w:pPr>
        <w:jc w:val="center"/>
        <w:rPr>
          <w:rFonts w:eastAsiaTheme="minorEastAsia"/>
        </w:rPr>
      </w:pPr>
      <w:r w:rsidRPr="004865E8">
        <w:rPr>
          <w:rFonts w:eastAsiaTheme="minorEastAsia"/>
          <w:noProof/>
        </w:rPr>
        <w:drawing>
          <wp:inline distT="0" distB="0" distL="0" distR="0" wp14:anchorId="05C68846" wp14:editId="6F34F35D">
            <wp:extent cx="4743694" cy="3810196"/>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5"/>
                    <a:stretch>
                      <a:fillRect/>
                    </a:stretch>
                  </pic:blipFill>
                  <pic:spPr>
                    <a:xfrm>
                      <a:off x="0" y="0"/>
                      <a:ext cx="4743694" cy="3810196"/>
                    </a:xfrm>
                    <a:prstGeom prst="rect">
                      <a:avLst/>
                    </a:prstGeom>
                  </pic:spPr>
                </pic:pic>
              </a:graphicData>
            </a:graphic>
          </wp:inline>
        </w:drawing>
      </w:r>
    </w:p>
    <w:p w:rsidRPr="000538DF" w:rsidR="00120BF4" w:rsidP="00212E12" w:rsidRDefault="000538DF" w14:paraId="587C958B" w14:textId="7238E205">
      <w:pPr>
        <w:rPr>
          <w:rFonts w:asciiTheme="majorHAnsi" w:hAnsiTheme="majorHAnsi" w:eastAsiaTheme="minorEastAsia" w:cstheme="majorBidi"/>
          <w:color w:val="2F5496" w:themeColor="accent1" w:themeShade="BF"/>
          <w:sz w:val="26"/>
          <w:szCs w:val="26"/>
        </w:rPr>
      </w:pPr>
      <w:r>
        <w:rPr>
          <w:rFonts w:asciiTheme="majorHAnsi" w:hAnsiTheme="majorHAnsi" w:eastAsiaTheme="minorEastAsia" w:cstheme="majorBidi"/>
          <w:color w:val="2F5496" w:themeColor="accent1" w:themeShade="BF"/>
          <w:sz w:val="26"/>
          <w:szCs w:val="26"/>
        </w:rPr>
        <w:t xml:space="preserve">Methodologies to Determine Operating Reserves Due to Increased Wind Power </w:t>
      </w:r>
      <w:r w:rsidR="00120BF4">
        <w:rPr>
          <w:rFonts w:asciiTheme="majorHAnsi" w:hAnsiTheme="majorHAnsi" w:eastAsiaTheme="minorEastAsia" w:cstheme="majorBidi"/>
          <w:color w:val="2F5496" w:themeColor="accent1" w:themeShade="BF"/>
          <w:sz w:val="26"/>
          <w:szCs w:val="26"/>
        </w:rPr>
        <w:fldChar w:fldCharType="begin"/>
      </w:r>
      <w:r w:rsidR="00120BF4">
        <w:rPr>
          <w:rFonts w:asciiTheme="majorHAnsi" w:hAnsiTheme="majorHAnsi" w:eastAsiaTheme="minorEastAsia" w:cstheme="majorBidi"/>
          <w:color w:val="2F5496" w:themeColor="accent1" w:themeShade="BF"/>
          <w:sz w:val="26"/>
          <w:szCs w:val="26"/>
        </w:rPr>
        <w:instrText xml:space="preserve"> ADDIN ZOTERO_ITEM CSL_CITATION {"citationID":"IAteTOyA","properties":{"formattedCitation":"[16]","plainCitation":"[16]","noteIndex":0},"citationItems":[{"id":5922,"uris":["http://zotero.org/users/9057300/items/A2RPPHAP"],"itemData":{"id":5922,"type":"article-journal","abstract":"Power systems with high wind penetration experience increased variability and uncertainty, such that determination of the required additional operating reserve is attracting a significant amount of attention and research. This paper presents methods used in recent wind integration analyses and operating practice, with key results that compare different methods or data. Wind integration analysis over the past several years has shown that wind variability need not be seen as a contingency event. The impact of wind will be seen in the reserves for nonevent operation (normal operation dealing with deviations from schedules). Wind power will also result in some events of larger variability and large forecast errors that could be categorized as slow events. The level of operating reserve that is induced by wind is not constant during all hours of the year, so that dynamic allocation of reserves will reduce the amount of reserves needed in the system for most hours. The paper concludes with recent emerging trends.","container-title":"IEEE Transactions on Sustainable Energy","DOI":"10.1109/TSTE.2012.2208207","ISSN":"1949-3037","issue":"4","note":"event-title: IEEE Transactions on Sustainable Energy","page":"713-723","source":"IEEE Xplore","title":"Methodologies to Determine Operating Reserves Due to Increased Wind Power","volume":"3","author":[{"family":"Holttinen","given":"Hannele"},{"family":"Milligan","given":"Michael"},{"family":"Ela","given":"Erik"},{"family":"Menemenlis","given":"Nickie"},{"family":"Dobschinski","given":"Jan"},{"family":"Rawn","given":"Barry"},{"family":"Bessa","given":"Ricardo J."},{"family":"Flynn","given":"Damian"},{"family":"Gomez-Lazaro","given":"Emilio"},{"family":"Detlefsen","given":"Nina K."}],"issued":{"date-parts":[["2012",10]]}}}],"schema":"https://github.com/citation-style-language/schema/raw/master/csl-citation.json"} </w:instrText>
      </w:r>
      <w:r w:rsidR="00120BF4">
        <w:rPr>
          <w:rFonts w:asciiTheme="majorHAnsi" w:hAnsiTheme="majorHAnsi" w:eastAsiaTheme="minorEastAsia" w:cstheme="majorBidi"/>
          <w:color w:val="2F5496" w:themeColor="accent1" w:themeShade="BF"/>
          <w:sz w:val="26"/>
          <w:szCs w:val="26"/>
        </w:rPr>
        <w:fldChar w:fldCharType="separate"/>
      </w:r>
      <w:r w:rsidRPr="00120BF4" w:rsidR="00120BF4">
        <w:rPr>
          <w:rFonts w:asciiTheme="majorHAnsi" w:hAnsiTheme="majorHAnsi" w:eastAsiaTheme="minorEastAsia" w:cstheme="majorBidi"/>
          <w:color w:val="2F5496" w:themeColor="accent1" w:themeShade="BF"/>
          <w:sz w:val="26"/>
          <w:szCs w:val="26"/>
        </w:rPr>
        <w:t>[16]</w:t>
      </w:r>
      <w:r w:rsidR="00120BF4">
        <w:rPr>
          <w:rFonts w:asciiTheme="majorHAnsi" w:hAnsiTheme="majorHAnsi" w:eastAsiaTheme="minorEastAsia" w:cstheme="majorBidi"/>
          <w:color w:val="2F5496" w:themeColor="accent1" w:themeShade="BF"/>
          <w:sz w:val="26"/>
          <w:szCs w:val="26"/>
        </w:rPr>
        <w:fldChar w:fldCharType="end"/>
      </w:r>
      <w:r w:rsidR="00120BF4">
        <w:rPr>
          <w:rFonts w:asciiTheme="majorHAnsi" w:hAnsiTheme="majorHAnsi" w:eastAsiaTheme="minorEastAsia" w:cstheme="majorBidi"/>
          <w:color w:val="2F5496" w:themeColor="accent1" w:themeShade="BF"/>
          <w:sz w:val="26"/>
          <w:szCs w:val="26"/>
        </w:rPr>
        <w:t>:</w:t>
      </w:r>
    </w:p>
    <w:p w:rsidR="000D3BFC" w:rsidP="000D3BFC" w:rsidRDefault="000D3BFC" w14:paraId="03DA0180" w14:textId="77777777">
      <w:pPr>
        <w:rPr>
          <w:rFonts w:eastAsiaTheme="minorEastAsia"/>
          <w:color w:val="FF0000"/>
        </w:rPr>
      </w:pPr>
      <w:r w:rsidRPr="00B221E9">
        <w:rPr>
          <w:rFonts w:eastAsiaTheme="minorEastAsia"/>
          <w:color w:val="FF0000"/>
        </w:rPr>
        <w:t>To do</w:t>
      </w:r>
    </w:p>
    <w:p w:rsidRPr="000538DF" w:rsidR="00D0143B" w:rsidP="00D0143B" w:rsidRDefault="00D0143B" w14:paraId="7B4A363D" w14:textId="645B81D8">
      <w:pPr>
        <w:rPr>
          <w:rFonts w:asciiTheme="majorHAnsi" w:hAnsiTheme="majorHAnsi" w:eastAsiaTheme="minorEastAsia" w:cstheme="majorBidi"/>
          <w:color w:val="2F5496" w:themeColor="accent1" w:themeShade="BF"/>
          <w:sz w:val="26"/>
          <w:szCs w:val="26"/>
        </w:rPr>
      </w:pPr>
      <w:r>
        <w:rPr>
          <w:rFonts w:asciiTheme="majorHAnsi" w:hAnsiTheme="majorHAnsi" w:eastAsiaTheme="minorEastAsia" w:cstheme="majorBidi"/>
          <w:color w:val="2F5496" w:themeColor="accent1" w:themeShade="BF"/>
          <w:sz w:val="26"/>
          <w:szCs w:val="26"/>
        </w:rPr>
        <w:t xml:space="preserve">Summary of work by Yuri Makarov </w:t>
      </w:r>
      <w:r>
        <w:rPr>
          <w:rFonts w:asciiTheme="majorHAnsi" w:hAnsiTheme="majorHAnsi" w:eastAsiaTheme="minorEastAsia" w:cstheme="majorBidi"/>
          <w:color w:val="2F5496" w:themeColor="accent1" w:themeShade="BF"/>
          <w:sz w:val="26"/>
          <w:szCs w:val="26"/>
        </w:rPr>
        <w:fldChar w:fldCharType="begin"/>
      </w:r>
      <w:r>
        <w:rPr>
          <w:rFonts w:asciiTheme="majorHAnsi" w:hAnsiTheme="majorHAnsi" w:eastAsiaTheme="minorEastAsia" w:cstheme="majorBidi"/>
          <w:color w:val="2F5496" w:themeColor="accent1" w:themeShade="BF"/>
          <w:sz w:val="26"/>
          <w:szCs w:val="26"/>
        </w:rPr>
        <w:instrText xml:space="preserve"> ADDIN ZOTERO_ITEM CSL_CITATION {"citationID":"46Lm8lvQ","properties":{"formattedCitation":"[17]","plainCitation":"[17]","noteIndex":0},"citationItems":[{"id":4156,"uris":["http://zotero.org/users/9057300/items/RV27VFA8"],"itemData":{"id":4156,"type":"article-journal","abstract":"The paper analyzes the impact of integrating wind generation on the regulation and load following requirements of the California Independent System Operator (CAISO). These requirements are simulated and compared for the study cases with and without wind generation impacts included into the study for the years 2006 and 2010. Regulation and load following models were built based on hour-ahead and five-minute ahead load and wind generation forecasts. In 2006, the CAISO system peaked at 50 270 MW. Wind generation (at the installed capacity of 2600 MW) had limited impact on the requirement of load following and regulation in the CAISO Balancing Authority. However, in 2010 (with an expected installed capacity of approximately 6700 MW), this impact will significantly increase. The results provide very useful information for the CAISO to adjust its scheduling and real-time dispatch systems to reliably accommodate future wind generation additions within the CAISO Balancing Authority.","container-title":"IEEE Transactions on Power Systems","DOI":"10.1109/TPWRS.2009.2016364","ISSN":"1558-0679","issue":"2","note":"event-title: IEEE Transactions on Power Systems","page":"1039-1050","source":"IEEE Xplore","title":"Operational Impacts of Wind Generation on California Power Systems","volume":"24","author":[{"family":"Makarov","given":"Yuri V."},{"family":"Loutan","given":"Clyde"},{"family":"Ma","given":"Jian"},{"family":"Mello","given":"Phillip","non-dropping-particle":"de"}],"issued":{"date-parts":[["2009",5]]}}}],"schema":"https://github.com/citation-style-language/schema/raw/master/csl-citation.json"} </w:instrText>
      </w:r>
      <w:r>
        <w:rPr>
          <w:rFonts w:asciiTheme="majorHAnsi" w:hAnsiTheme="majorHAnsi" w:eastAsiaTheme="minorEastAsia" w:cstheme="majorBidi"/>
          <w:color w:val="2F5496" w:themeColor="accent1" w:themeShade="BF"/>
          <w:sz w:val="26"/>
          <w:szCs w:val="26"/>
        </w:rPr>
        <w:fldChar w:fldCharType="separate"/>
      </w:r>
      <w:r w:rsidRPr="003F097B">
        <w:rPr>
          <w:rFonts w:asciiTheme="majorHAnsi" w:hAnsiTheme="majorHAnsi" w:eastAsiaTheme="minorEastAsia" w:cstheme="majorBidi"/>
          <w:color w:val="2F5496" w:themeColor="accent1" w:themeShade="BF"/>
          <w:sz w:val="26"/>
          <w:szCs w:val="26"/>
        </w:rPr>
        <w:t>[17]</w:t>
      </w:r>
      <w:r>
        <w:rPr>
          <w:rFonts w:asciiTheme="majorHAnsi" w:hAnsiTheme="majorHAnsi" w:eastAsiaTheme="minorEastAsia" w:cstheme="majorBidi"/>
          <w:color w:val="2F5496" w:themeColor="accent1" w:themeShade="BF"/>
          <w:sz w:val="26"/>
          <w:szCs w:val="26"/>
        </w:rPr>
        <w:fldChar w:fldCharType="end"/>
      </w:r>
      <w:r w:rsidR="003F097B">
        <w:rPr>
          <w:rFonts w:asciiTheme="majorHAnsi" w:hAnsiTheme="majorHAnsi" w:eastAsiaTheme="minorEastAsia" w:cstheme="majorBidi"/>
          <w:color w:val="2F5496" w:themeColor="accent1" w:themeShade="BF"/>
          <w:sz w:val="26"/>
          <w:szCs w:val="26"/>
        </w:rPr>
        <w:t xml:space="preserve">, </w:t>
      </w:r>
      <w:r w:rsidR="003F097B">
        <w:rPr>
          <w:rFonts w:asciiTheme="majorHAnsi" w:hAnsiTheme="majorHAnsi" w:eastAsiaTheme="minorEastAsia" w:cstheme="majorBidi"/>
          <w:color w:val="2F5496" w:themeColor="accent1" w:themeShade="BF"/>
          <w:sz w:val="26"/>
          <w:szCs w:val="26"/>
        </w:rPr>
        <w:fldChar w:fldCharType="begin"/>
      </w:r>
      <w:r w:rsidR="003F097B">
        <w:rPr>
          <w:rFonts w:asciiTheme="majorHAnsi" w:hAnsiTheme="majorHAnsi" w:eastAsiaTheme="minorEastAsia" w:cstheme="majorBidi"/>
          <w:color w:val="2F5496" w:themeColor="accent1" w:themeShade="BF"/>
          <w:sz w:val="26"/>
          <w:szCs w:val="26"/>
        </w:rPr>
        <w:instrText xml:space="preserve"> ADDIN ZOTERO_ITEM CSL_CITATION {"citationID":"oe5kBHfT","properties":{"formattedCitation":"[18]","plainCitation":"[18]","noteIndex":0},"citationItems":[{"id":6055,"uris":["http://zotero.org/users/9057300/items/E5LW2SKD"],"itemData":{"id":6055,"type":"article-journal","abstract":"The variability and uncertainty of wind power production require increased flexibility in the power systems, or more operational reserves to maintain a satisfactory level of reliability. The incremental increase in reserve requirement caused by wind power is often studied separately from the effects of loads. Accordingly, the cost in procuring reserves is allocated based on this simplification rather than a fair and transparent calculation of the different resources’ contribution to the reserve requirement. This work proposes a new allocation mechanism for variability and uncertainty of resources regardless of their type. It is based on a new formula called the grid-balancing metric (GBM). The proposed GBM has several distinct features: 1) it is directly linked to the control performance standard scores and interconnection frequency performance, 2) it provides scientifically defined allocation factors for individual resources, 3) the sum of allocation factors within any group of resources is equal to the groups’ collective allocation factor (linearity), and 4) it distinguishes helpers and harmers. The paper illustrates and provides results of the new approach based on actual transmission system operator data.","container-title":"IEEE Transactions on Sustainable Energy","DOI":"10.1109/TSTE.2013.2283712","ISSN":"1949-3037","issue":"1","note":"event-title: IEEE Transactions on Sustainable Energy","page":"323-331","source":"IEEE Xplore","title":"Calculating Individual Resources Variability and Uncertainty Factors Based on Their Contributions to the Overall System Balancing Needs","volume":"5","author":[{"family":"Makarov","given":"Yuri V."},{"family":"Du","given":"Pengwei"},{"family":"Pai","given":"M. A."},{"family":"McManus","given":"Bart"}],"issued":{"date-parts":[["2014",1]]}}}],"schema":"https://github.com/citation-style-language/schema/raw/master/csl-citation.json"} </w:instrText>
      </w:r>
      <w:r w:rsidR="003F097B">
        <w:rPr>
          <w:rFonts w:asciiTheme="majorHAnsi" w:hAnsiTheme="majorHAnsi" w:eastAsiaTheme="minorEastAsia" w:cstheme="majorBidi"/>
          <w:color w:val="2F5496" w:themeColor="accent1" w:themeShade="BF"/>
          <w:sz w:val="26"/>
          <w:szCs w:val="26"/>
        </w:rPr>
        <w:fldChar w:fldCharType="separate"/>
      </w:r>
      <w:r w:rsidRPr="003F097B" w:rsidR="003F097B">
        <w:rPr>
          <w:rFonts w:asciiTheme="majorHAnsi" w:hAnsiTheme="majorHAnsi" w:eastAsiaTheme="minorEastAsia" w:cstheme="majorBidi"/>
          <w:color w:val="2F5496" w:themeColor="accent1" w:themeShade="BF"/>
          <w:sz w:val="26"/>
          <w:szCs w:val="26"/>
        </w:rPr>
        <w:t>[18]</w:t>
      </w:r>
      <w:r w:rsidR="003F097B">
        <w:rPr>
          <w:rFonts w:asciiTheme="majorHAnsi" w:hAnsiTheme="majorHAnsi" w:eastAsiaTheme="minorEastAsia" w:cstheme="majorBidi"/>
          <w:color w:val="2F5496" w:themeColor="accent1" w:themeShade="BF"/>
          <w:sz w:val="26"/>
          <w:szCs w:val="26"/>
        </w:rPr>
        <w:fldChar w:fldCharType="end"/>
      </w:r>
      <w:r>
        <w:rPr>
          <w:rFonts w:asciiTheme="majorHAnsi" w:hAnsiTheme="majorHAnsi" w:eastAsiaTheme="minorEastAsia" w:cstheme="majorBidi"/>
          <w:color w:val="2F5496" w:themeColor="accent1" w:themeShade="BF"/>
          <w:sz w:val="26"/>
          <w:szCs w:val="26"/>
        </w:rPr>
        <w:t>:</w:t>
      </w:r>
    </w:p>
    <w:p w:rsidR="00E84C87" w:rsidP="00E84C87" w:rsidRDefault="00E84C87" w14:paraId="6AA710BD" w14:textId="77777777">
      <w:pPr>
        <w:rPr>
          <w:rFonts w:eastAsiaTheme="minorEastAsia"/>
          <w:color w:val="FF0000"/>
        </w:rPr>
      </w:pPr>
      <w:r w:rsidRPr="00B221E9">
        <w:rPr>
          <w:rFonts w:eastAsiaTheme="minorEastAsia"/>
          <w:color w:val="FF0000"/>
        </w:rPr>
        <w:t>To do</w:t>
      </w:r>
    </w:p>
    <w:p w:rsidR="00D0143B" w:rsidP="000D3BFC" w:rsidRDefault="00D0143B" w14:paraId="52AFB062" w14:textId="77777777">
      <w:pPr>
        <w:rPr>
          <w:rFonts w:eastAsiaTheme="minorEastAsia"/>
          <w:color w:val="FF0000"/>
        </w:rPr>
      </w:pPr>
    </w:p>
    <w:p w:rsidRPr="00A81690" w:rsidR="00E1024E" w:rsidP="00A81690" w:rsidRDefault="00E1024E" w14:paraId="2C526BEA" w14:textId="1A99959D">
      <w:pPr>
        <w:rPr>
          <w:rFonts w:eastAsiaTheme="minorEastAsia"/>
        </w:rPr>
      </w:pPr>
      <w:r w:rsidRPr="00A81690">
        <w:rPr>
          <w:rFonts w:eastAsiaTheme="minorEastAsia"/>
        </w:rPr>
        <w:br w:type="page"/>
      </w:r>
    </w:p>
    <w:p w:rsidRPr="00294597" w:rsidR="00294597" w:rsidP="00294597" w:rsidRDefault="00294597" w14:paraId="1DEFBD8A" w14:textId="65D15FBB">
      <w:pPr>
        <w:pStyle w:val="Heading1"/>
        <w:rPr>
          <w:rFonts w:eastAsiaTheme="minorEastAsia"/>
        </w:rPr>
      </w:pPr>
      <w:r>
        <w:rPr>
          <w:rFonts w:eastAsiaTheme="minorEastAsia"/>
        </w:rPr>
        <w:t>References:</w:t>
      </w:r>
    </w:p>
    <w:p w:rsidRPr="003F097B" w:rsidR="003F097B" w:rsidP="003F097B" w:rsidRDefault="00294597" w14:paraId="0E2979E5" w14:textId="77777777">
      <w:pPr>
        <w:pStyle w:val="Bibliography"/>
        <w:rPr>
          <w:rFonts w:ascii="Calibri" w:hAnsi="Calibri" w:cs="Calibri"/>
        </w:rPr>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Pr="003F097B" w:rsidR="003F097B">
        <w:rPr>
          <w:rFonts w:ascii="Calibri" w:hAnsi="Calibri" w:cs="Calibri"/>
        </w:rPr>
        <w:t>[1]</w:t>
      </w:r>
      <w:r w:rsidRPr="003F097B" w:rsidR="003F097B">
        <w:rPr>
          <w:rFonts w:ascii="Calibri" w:hAnsi="Calibri" w:cs="Calibri"/>
        </w:rPr>
        <w:tab/>
      </w:r>
      <w:r w:rsidRPr="003F097B" w:rsidR="003F097B">
        <w:rPr>
          <w:rFonts w:ascii="Calibri" w:hAnsi="Calibri" w:cs="Calibri"/>
        </w:rPr>
        <w:t xml:space="preserve">L. Soder, “Reserve margin planning in a wind-hydro-thermal power system,” </w:t>
      </w:r>
      <w:r w:rsidRPr="003F097B" w:rsidR="003F097B">
        <w:rPr>
          <w:rFonts w:ascii="Calibri" w:hAnsi="Calibri" w:cs="Calibri"/>
          <w:i/>
          <w:iCs/>
        </w:rPr>
        <w:t>IEEE Trans. Power Syst.</w:t>
      </w:r>
      <w:r w:rsidRPr="003F097B" w:rsidR="003F097B">
        <w:rPr>
          <w:rFonts w:ascii="Calibri" w:hAnsi="Calibri" w:cs="Calibri"/>
        </w:rPr>
        <w:t>, vol. 8, no. 2, pp. 564–571, May 1993, doi: 10.1109/59.260826.</w:t>
      </w:r>
    </w:p>
    <w:p w:rsidRPr="003F097B" w:rsidR="003F097B" w:rsidP="003F097B" w:rsidRDefault="003F097B" w14:paraId="6835EFC6" w14:textId="77777777">
      <w:pPr>
        <w:pStyle w:val="Bibliography"/>
        <w:rPr>
          <w:rFonts w:ascii="Calibri" w:hAnsi="Calibri" w:cs="Calibri"/>
        </w:rPr>
      </w:pPr>
      <w:r w:rsidRPr="003F097B">
        <w:rPr>
          <w:rFonts w:ascii="Calibri" w:hAnsi="Calibri" w:cs="Calibri"/>
        </w:rPr>
        <w:t>[2]</w:t>
      </w:r>
      <w:r w:rsidRPr="003F097B">
        <w:rPr>
          <w:rFonts w:ascii="Calibri" w:hAnsi="Calibri" w:cs="Calibri"/>
        </w:rPr>
        <w:tab/>
      </w:r>
      <w:r w:rsidRPr="003F097B">
        <w:rPr>
          <w:rFonts w:ascii="Calibri" w:hAnsi="Calibri" w:cs="Calibri"/>
        </w:rPr>
        <w:t xml:space="preserve">R. Billinton and R. N. Allan, </w:t>
      </w:r>
      <w:r w:rsidRPr="003F097B">
        <w:rPr>
          <w:rFonts w:ascii="Calibri" w:hAnsi="Calibri" w:cs="Calibri"/>
          <w:i/>
          <w:iCs/>
        </w:rPr>
        <w:t>Reliability evaluation of power systems</w:t>
      </w:r>
      <w:r w:rsidRPr="003F097B">
        <w:rPr>
          <w:rFonts w:ascii="Calibri" w:hAnsi="Calibri" w:cs="Calibri"/>
        </w:rPr>
        <w:t>, 2nd ed. New York: Plenum Press, 1996.</w:t>
      </w:r>
    </w:p>
    <w:p w:rsidRPr="003F097B" w:rsidR="003F097B" w:rsidP="003F097B" w:rsidRDefault="003F097B" w14:paraId="783C77DC" w14:textId="77777777">
      <w:pPr>
        <w:pStyle w:val="Bibliography"/>
        <w:rPr>
          <w:rFonts w:ascii="Calibri" w:hAnsi="Calibri" w:cs="Calibri"/>
        </w:rPr>
      </w:pPr>
      <w:r w:rsidRPr="003F097B">
        <w:rPr>
          <w:rFonts w:ascii="Calibri" w:hAnsi="Calibri" w:cs="Calibri"/>
        </w:rPr>
        <w:t>[3]</w:t>
      </w:r>
      <w:r w:rsidRPr="003F097B">
        <w:rPr>
          <w:rFonts w:ascii="Calibri" w:hAnsi="Calibri" w:cs="Calibri"/>
        </w:rPr>
        <w:tab/>
      </w:r>
      <w:r w:rsidRPr="003F097B">
        <w:rPr>
          <w:rFonts w:ascii="Calibri" w:hAnsi="Calibri" w:cs="Calibri"/>
        </w:rPr>
        <w:t xml:space="preserve">E. Lannoye, D. Flynn, and M. O’Malley, “Evaluation of Power System Flexibility,” </w:t>
      </w:r>
      <w:r w:rsidRPr="003F097B">
        <w:rPr>
          <w:rFonts w:ascii="Calibri" w:hAnsi="Calibri" w:cs="Calibri"/>
          <w:i/>
          <w:iCs/>
        </w:rPr>
        <w:t>IEEE Trans. Power Syst.</w:t>
      </w:r>
      <w:r w:rsidRPr="003F097B">
        <w:rPr>
          <w:rFonts w:ascii="Calibri" w:hAnsi="Calibri" w:cs="Calibri"/>
        </w:rPr>
        <w:t>, vol. 27, no. 2, pp. 922–931, May 2012, doi: 10.1109/TPWRS.2011.2177280.</w:t>
      </w:r>
    </w:p>
    <w:p w:rsidRPr="003F097B" w:rsidR="003F097B" w:rsidP="003F097B" w:rsidRDefault="003F097B" w14:paraId="42CF3991" w14:textId="77777777">
      <w:pPr>
        <w:pStyle w:val="Bibliography"/>
        <w:rPr>
          <w:rFonts w:ascii="Calibri" w:hAnsi="Calibri" w:cs="Calibri"/>
        </w:rPr>
      </w:pPr>
      <w:r w:rsidRPr="003F097B">
        <w:rPr>
          <w:rFonts w:ascii="Calibri" w:hAnsi="Calibri" w:cs="Calibri"/>
        </w:rPr>
        <w:t>[4]</w:t>
      </w:r>
      <w:r w:rsidRPr="003F097B">
        <w:rPr>
          <w:rFonts w:ascii="Calibri" w:hAnsi="Calibri" w:cs="Calibri"/>
        </w:rPr>
        <w:tab/>
      </w:r>
      <w:r w:rsidRPr="003F097B">
        <w:rPr>
          <w:rFonts w:ascii="Calibri" w:hAnsi="Calibri" w:cs="Calibri"/>
        </w:rPr>
        <w:t xml:space="preserve">P. Denholm, J. Novacheck, J. Jorgenson, and M. O’Connell, “Impact of Flexibility Options on Grid Economic Carrying Capacity of Solar and Wind: Three Case Studies,” </w:t>
      </w:r>
      <w:r w:rsidRPr="003F097B">
        <w:rPr>
          <w:rFonts w:ascii="Calibri" w:hAnsi="Calibri" w:cs="Calibri"/>
          <w:i/>
          <w:iCs/>
        </w:rPr>
        <w:t>Renew. Energy</w:t>
      </w:r>
      <w:r w:rsidRPr="003F097B">
        <w:rPr>
          <w:rFonts w:ascii="Calibri" w:hAnsi="Calibri" w:cs="Calibri"/>
        </w:rPr>
        <w:t>, p. 125, 2016.</w:t>
      </w:r>
    </w:p>
    <w:p w:rsidRPr="003F097B" w:rsidR="003F097B" w:rsidP="003F097B" w:rsidRDefault="003F097B" w14:paraId="22E05940" w14:textId="77777777">
      <w:pPr>
        <w:pStyle w:val="Bibliography"/>
        <w:rPr>
          <w:rFonts w:ascii="Calibri" w:hAnsi="Calibri" w:cs="Calibri"/>
        </w:rPr>
      </w:pPr>
      <w:r w:rsidRPr="003F097B">
        <w:rPr>
          <w:rFonts w:ascii="Calibri" w:hAnsi="Calibri" w:cs="Calibri"/>
        </w:rPr>
        <w:t>[5]</w:t>
      </w:r>
      <w:r w:rsidRPr="003F097B">
        <w:rPr>
          <w:rFonts w:ascii="Calibri" w:hAnsi="Calibri" w:cs="Calibri"/>
        </w:rPr>
        <w:tab/>
      </w:r>
      <w:r w:rsidRPr="003F097B">
        <w:rPr>
          <w:rFonts w:ascii="Calibri" w:hAnsi="Calibri" w:cs="Calibri"/>
        </w:rPr>
        <w:t xml:space="preserve">E. Lannoye, D. Flynn, and M. O’Malley, “Transmission, Variable Generation, and Power System Flexibility,” </w:t>
      </w:r>
      <w:r w:rsidRPr="003F097B">
        <w:rPr>
          <w:rFonts w:ascii="Calibri" w:hAnsi="Calibri" w:cs="Calibri"/>
          <w:i/>
          <w:iCs/>
        </w:rPr>
        <w:t>IEEE Trans. Power Syst.</w:t>
      </w:r>
      <w:r w:rsidRPr="003F097B">
        <w:rPr>
          <w:rFonts w:ascii="Calibri" w:hAnsi="Calibri" w:cs="Calibri"/>
        </w:rPr>
        <w:t>, vol. 30, no. 1, pp. 57–66, Jan. 2015, doi: 10.1109/TPWRS.2014.2321793.</w:t>
      </w:r>
    </w:p>
    <w:p w:rsidRPr="003F097B" w:rsidR="003F097B" w:rsidP="003F097B" w:rsidRDefault="003F097B" w14:paraId="13CCC378" w14:textId="77777777">
      <w:pPr>
        <w:pStyle w:val="Bibliography"/>
        <w:rPr>
          <w:rFonts w:ascii="Calibri" w:hAnsi="Calibri" w:cs="Calibri"/>
        </w:rPr>
      </w:pPr>
      <w:r w:rsidRPr="003F097B">
        <w:rPr>
          <w:rFonts w:ascii="Calibri" w:hAnsi="Calibri" w:cs="Calibri"/>
        </w:rPr>
        <w:t>[6]</w:t>
      </w:r>
      <w:r w:rsidRPr="003F097B">
        <w:rPr>
          <w:rFonts w:ascii="Calibri" w:hAnsi="Calibri" w:cs="Calibri"/>
        </w:rPr>
        <w:tab/>
      </w:r>
      <w:r w:rsidRPr="003F097B">
        <w:rPr>
          <w:rFonts w:ascii="Calibri" w:hAnsi="Calibri" w:cs="Calibri"/>
        </w:rPr>
        <w:t>“BCorcoran_Frew_Dissertation_FINAL-augmented.pdf.” https://stacks.stanford.edu/file/druid:hr320qr0229/BCorcoran_Frew_Dissertation_FINAL-augmented.pdf (accessed Nov. 18, 2022).</w:t>
      </w:r>
    </w:p>
    <w:p w:rsidRPr="003F097B" w:rsidR="003F097B" w:rsidP="003F097B" w:rsidRDefault="003F097B" w14:paraId="3173968E" w14:textId="77777777">
      <w:pPr>
        <w:pStyle w:val="Bibliography"/>
        <w:rPr>
          <w:rFonts w:ascii="Calibri" w:hAnsi="Calibri" w:cs="Calibri"/>
        </w:rPr>
      </w:pPr>
      <w:r w:rsidRPr="003F097B">
        <w:rPr>
          <w:rFonts w:ascii="Calibri" w:hAnsi="Calibri" w:cs="Calibri"/>
        </w:rPr>
        <w:t>[7]</w:t>
      </w:r>
      <w:r w:rsidRPr="003F097B">
        <w:rPr>
          <w:rFonts w:ascii="Calibri" w:hAnsi="Calibri" w:cs="Calibri"/>
        </w:rPr>
        <w:tab/>
      </w:r>
      <w:r w:rsidRPr="003F097B">
        <w:rPr>
          <w:rFonts w:ascii="Calibri" w:hAnsi="Calibri" w:cs="Calibri"/>
        </w:rPr>
        <w:t>“Eastern Wind Integration and Transmission Study.” https://www.nrel.gov/docs/fy11osti/47078.pdf (accessed Nov. 22, 2022).</w:t>
      </w:r>
    </w:p>
    <w:p w:rsidRPr="003F097B" w:rsidR="003F097B" w:rsidP="003F097B" w:rsidRDefault="003F097B" w14:paraId="3A6395C3" w14:textId="77777777">
      <w:pPr>
        <w:pStyle w:val="Bibliography"/>
        <w:rPr>
          <w:rFonts w:ascii="Calibri" w:hAnsi="Calibri" w:cs="Calibri"/>
        </w:rPr>
      </w:pPr>
      <w:r w:rsidRPr="003F097B">
        <w:rPr>
          <w:rFonts w:ascii="Calibri" w:hAnsi="Calibri" w:cs="Calibri"/>
        </w:rPr>
        <w:t>[8]</w:t>
      </w:r>
      <w:r w:rsidRPr="003F097B">
        <w:rPr>
          <w:rFonts w:ascii="Calibri" w:hAnsi="Calibri" w:cs="Calibri"/>
        </w:rPr>
        <w:tab/>
      </w:r>
      <w:r w:rsidRPr="003F097B">
        <w:rPr>
          <w:rFonts w:ascii="Calibri" w:hAnsi="Calibri" w:cs="Calibri"/>
        </w:rPr>
        <w:t xml:space="preserve">W. Short </w:t>
      </w:r>
      <w:r w:rsidRPr="003F097B">
        <w:rPr>
          <w:rFonts w:ascii="Calibri" w:hAnsi="Calibri" w:cs="Calibri"/>
          <w:i/>
          <w:iCs/>
        </w:rPr>
        <w:t>et al.</w:t>
      </w:r>
      <w:r w:rsidRPr="003F097B">
        <w:rPr>
          <w:rFonts w:ascii="Calibri" w:hAnsi="Calibri" w:cs="Calibri"/>
        </w:rPr>
        <w:t>, “Regional Energy Deployment System (ReEDS),” NREL/TP-6A20-46534, 1031955, Dec. 2011. doi: 10.2172/1031955.</w:t>
      </w:r>
    </w:p>
    <w:p w:rsidRPr="003F097B" w:rsidR="003F097B" w:rsidP="003F097B" w:rsidRDefault="003F097B" w14:paraId="19751AF5" w14:textId="77777777">
      <w:pPr>
        <w:pStyle w:val="Bibliography"/>
        <w:rPr>
          <w:rFonts w:ascii="Calibri" w:hAnsi="Calibri" w:cs="Calibri"/>
        </w:rPr>
      </w:pPr>
      <w:r w:rsidRPr="003F097B">
        <w:rPr>
          <w:rFonts w:ascii="Calibri" w:hAnsi="Calibri" w:cs="Calibri"/>
        </w:rPr>
        <w:t>[9]</w:t>
      </w:r>
      <w:r w:rsidRPr="003F097B">
        <w:rPr>
          <w:rFonts w:ascii="Calibri" w:hAnsi="Calibri" w:cs="Calibri"/>
        </w:rPr>
        <w:tab/>
      </w:r>
      <w:r w:rsidRPr="003F097B">
        <w:rPr>
          <w:rFonts w:ascii="Calibri" w:hAnsi="Calibri" w:cs="Calibri"/>
        </w:rPr>
        <w:t xml:space="preserve">B.-M. Hodge and M. Milligan, “Wind power forecasting error distributions over multiple timescales,” in </w:t>
      </w:r>
      <w:r w:rsidRPr="003F097B">
        <w:rPr>
          <w:rFonts w:ascii="Calibri" w:hAnsi="Calibri" w:cs="Calibri"/>
          <w:i/>
          <w:iCs/>
        </w:rPr>
        <w:t>2011 IEEE Power and Energy Society General Meeting</w:t>
      </w:r>
      <w:r w:rsidRPr="003F097B">
        <w:rPr>
          <w:rFonts w:ascii="Calibri" w:hAnsi="Calibri" w:cs="Calibri"/>
        </w:rPr>
        <w:t>, Jul. 2011, pp. 1–8. doi: 10.1109/PES.2011.6039388.</w:t>
      </w:r>
    </w:p>
    <w:p w:rsidRPr="003F097B" w:rsidR="003F097B" w:rsidP="003F097B" w:rsidRDefault="003F097B" w14:paraId="3C97D690" w14:textId="77777777">
      <w:pPr>
        <w:pStyle w:val="Bibliography"/>
        <w:rPr>
          <w:rFonts w:ascii="Calibri" w:hAnsi="Calibri" w:cs="Calibri"/>
        </w:rPr>
      </w:pPr>
      <w:r w:rsidRPr="003F097B">
        <w:rPr>
          <w:rFonts w:ascii="Calibri" w:hAnsi="Calibri" w:cs="Calibri"/>
        </w:rPr>
        <w:t>[10]</w:t>
      </w:r>
      <w:r w:rsidRPr="003F097B">
        <w:rPr>
          <w:rFonts w:ascii="Calibri" w:hAnsi="Calibri" w:cs="Calibri"/>
        </w:rPr>
        <w:tab/>
      </w:r>
      <w:r w:rsidRPr="003F097B">
        <w:rPr>
          <w:rFonts w:ascii="Calibri" w:hAnsi="Calibri" w:cs="Calibri"/>
        </w:rPr>
        <w:t>“NW Council Operating and Planning Reserves.” https://www.nwcouncil.org/sites/default/files/7thplanfinal_chap10_opplanningreserves_1.pdf (accessed Nov. 24, 2022).</w:t>
      </w:r>
    </w:p>
    <w:p w:rsidRPr="003F097B" w:rsidR="003F097B" w:rsidP="003F097B" w:rsidRDefault="003F097B" w14:paraId="280F1693" w14:textId="77777777">
      <w:pPr>
        <w:pStyle w:val="Bibliography"/>
        <w:rPr>
          <w:rFonts w:ascii="Calibri" w:hAnsi="Calibri" w:cs="Calibri"/>
        </w:rPr>
      </w:pPr>
      <w:r w:rsidRPr="003F097B">
        <w:rPr>
          <w:rFonts w:ascii="Calibri" w:hAnsi="Calibri" w:cs="Calibri"/>
        </w:rPr>
        <w:t>[11]</w:t>
      </w:r>
      <w:r w:rsidRPr="003F097B">
        <w:rPr>
          <w:rFonts w:ascii="Calibri" w:hAnsi="Calibri" w:cs="Calibri"/>
        </w:rPr>
        <w:tab/>
      </w:r>
      <w:r w:rsidRPr="003F097B">
        <w:rPr>
          <w:rFonts w:ascii="Calibri" w:hAnsi="Calibri" w:cs="Calibri"/>
        </w:rPr>
        <w:t xml:space="preserve">T. Rafael Garcia, M. Martinez, and P. Mercado, “A Review of Operating Reserves in Power Systems with High Penetration of Renewable Energy Sources,” in </w:t>
      </w:r>
      <w:r w:rsidRPr="003F097B">
        <w:rPr>
          <w:rFonts w:ascii="Calibri" w:hAnsi="Calibri" w:cs="Calibri"/>
          <w:i/>
          <w:iCs/>
        </w:rPr>
        <w:t>2021 IEEE URUCON</w:t>
      </w:r>
      <w:r w:rsidRPr="003F097B">
        <w:rPr>
          <w:rFonts w:ascii="Calibri" w:hAnsi="Calibri" w:cs="Calibri"/>
        </w:rPr>
        <w:t>, Nov. 2021, pp. 194–199. doi: 10.1109/URUCON53396.2021.9647308.</w:t>
      </w:r>
    </w:p>
    <w:p w:rsidRPr="003F097B" w:rsidR="003F097B" w:rsidP="003F097B" w:rsidRDefault="003F097B" w14:paraId="65E1CB15" w14:textId="77777777">
      <w:pPr>
        <w:pStyle w:val="Bibliography"/>
        <w:rPr>
          <w:rFonts w:ascii="Calibri" w:hAnsi="Calibri" w:cs="Calibri"/>
        </w:rPr>
      </w:pPr>
      <w:r w:rsidRPr="003F097B">
        <w:rPr>
          <w:rFonts w:ascii="Calibri" w:hAnsi="Calibri" w:cs="Calibri"/>
        </w:rPr>
        <w:t>[12]</w:t>
      </w:r>
      <w:r w:rsidRPr="003F097B">
        <w:rPr>
          <w:rFonts w:ascii="Calibri" w:hAnsi="Calibri" w:cs="Calibri"/>
        </w:rPr>
        <w:tab/>
      </w:r>
      <w:r w:rsidRPr="003F097B">
        <w:rPr>
          <w:rFonts w:ascii="Calibri" w:hAnsi="Calibri" w:cs="Calibri"/>
        </w:rPr>
        <w:t xml:space="preserve">H. Huang, M. Zhou, and G. Li, “An Endogenous Approach to Quantifying the Wind Power Reserve,” </w:t>
      </w:r>
      <w:r w:rsidRPr="003F097B">
        <w:rPr>
          <w:rFonts w:ascii="Calibri" w:hAnsi="Calibri" w:cs="Calibri"/>
          <w:i/>
          <w:iCs/>
        </w:rPr>
        <w:t>IEEE Trans. Power Syst.</w:t>
      </w:r>
      <w:r w:rsidRPr="003F097B">
        <w:rPr>
          <w:rFonts w:ascii="Calibri" w:hAnsi="Calibri" w:cs="Calibri"/>
        </w:rPr>
        <w:t>, vol. 35, no. 3, pp. 2431–2442, May 2020, doi: 10.1109/TPWRS.2019.2954844.</w:t>
      </w:r>
    </w:p>
    <w:p w:rsidRPr="003F097B" w:rsidR="003F097B" w:rsidP="003F097B" w:rsidRDefault="003F097B" w14:paraId="2238E1FC" w14:textId="77777777">
      <w:pPr>
        <w:pStyle w:val="Bibliography"/>
        <w:rPr>
          <w:rFonts w:ascii="Calibri" w:hAnsi="Calibri" w:cs="Calibri"/>
        </w:rPr>
      </w:pPr>
      <w:r w:rsidRPr="003F097B">
        <w:rPr>
          <w:rFonts w:ascii="Calibri" w:hAnsi="Calibri" w:cs="Calibri"/>
        </w:rPr>
        <w:t>[13]</w:t>
      </w:r>
      <w:r w:rsidRPr="003F097B">
        <w:rPr>
          <w:rFonts w:ascii="Calibri" w:hAnsi="Calibri" w:cs="Calibri"/>
        </w:rPr>
        <w:tab/>
      </w:r>
      <w:r w:rsidRPr="003F097B">
        <w:rPr>
          <w:rFonts w:ascii="Calibri" w:hAnsi="Calibri" w:cs="Calibri"/>
        </w:rPr>
        <w:t xml:space="preserve">G. Liu and K. Tomsovic, “Quantifying Spinning Reserve in Systems With Significant Wind Power Penetration,” </w:t>
      </w:r>
      <w:r w:rsidRPr="003F097B">
        <w:rPr>
          <w:rFonts w:ascii="Calibri" w:hAnsi="Calibri" w:cs="Calibri"/>
          <w:i/>
          <w:iCs/>
        </w:rPr>
        <w:t>IEEE Trans. Power Syst.</w:t>
      </w:r>
      <w:r w:rsidRPr="003F097B">
        <w:rPr>
          <w:rFonts w:ascii="Calibri" w:hAnsi="Calibri" w:cs="Calibri"/>
        </w:rPr>
        <w:t>, vol. 27, no. 4, pp. 2385–2393, Nov. 2012, doi: 10.1109/TPWRS.2012.2207465.</w:t>
      </w:r>
    </w:p>
    <w:p w:rsidRPr="003F097B" w:rsidR="003F097B" w:rsidP="003F097B" w:rsidRDefault="003F097B" w14:paraId="7B4255F6" w14:textId="77777777">
      <w:pPr>
        <w:pStyle w:val="Bibliography"/>
        <w:rPr>
          <w:rFonts w:ascii="Calibri" w:hAnsi="Calibri" w:cs="Calibri"/>
        </w:rPr>
      </w:pPr>
      <w:r w:rsidRPr="003F097B">
        <w:rPr>
          <w:rFonts w:ascii="Calibri" w:hAnsi="Calibri" w:cs="Calibri"/>
        </w:rPr>
        <w:t>[14]</w:t>
      </w:r>
      <w:r w:rsidRPr="003F097B">
        <w:rPr>
          <w:rFonts w:ascii="Calibri" w:hAnsi="Calibri" w:cs="Calibri"/>
        </w:rPr>
        <w:tab/>
      </w:r>
      <w:r w:rsidRPr="003F097B">
        <w:rPr>
          <w:rFonts w:ascii="Calibri" w:hAnsi="Calibri" w:cs="Calibri"/>
        </w:rPr>
        <w:t xml:space="preserve">F. Bouffard and M. Ortega-Vazquez, “The value of operational flexibility in power systems with significant wind power generation,” in </w:t>
      </w:r>
      <w:r w:rsidRPr="003F097B">
        <w:rPr>
          <w:rFonts w:ascii="Calibri" w:hAnsi="Calibri" w:cs="Calibri"/>
          <w:i/>
          <w:iCs/>
        </w:rPr>
        <w:t>2011 IEEE Power and Energy Society General Meeting</w:t>
      </w:r>
      <w:r w:rsidRPr="003F097B">
        <w:rPr>
          <w:rFonts w:ascii="Calibri" w:hAnsi="Calibri" w:cs="Calibri"/>
        </w:rPr>
        <w:t>, Jul. 2011, pp. 1–5. doi: 10.1109/PES.2011.6039031.</w:t>
      </w:r>
    </w:p>
    <w:p w:rsidRPr="003F097B" w:rsidR="003F097B" w:rsidP="003F097B" w:rsidRDefault="003F097B" w14:paraId="3AE8C144" w14:textId="77777777">
      <w:pPr>
        <w:pStyle w:val="Bibliography"/>
        <w:rPr>
          <w:rFonts w:ascii="Calibri" w:hAnsi="Calibri" w:cs="Calibri"/>
        </w:rPr>
      </w:pPr>
      <w:r w:rsidRPr="003F097B">
        <w:rPr>
          <w:rFonts w:ascii="Calibri" w:hAnsi="Calibri" w:cs="Calibri"/>
        </w:rPr>
        <w:t>[15]</w:t>
      </w:r>
      <w:r w:rsidRPr="003F097B">
        <w:rPr>
          <w:rFonts w:ascii="Calibri" w:hAnsi="Calibri" w:cs="Calibri"/>
        </w:rPr>
        <w:tab/>
      </w:r>
      <w:r w:rsidRPr="003F097B">
        <w:rPr>
          <w:rFonts w:ascii="Calibri" w:hAnsi="Calibri" w:cs="Calibri"/>
        </w:rPr>
        <w:t>E. Ela, M. Milligan, and B. Kirby, “Operating Reserves and Variable Generation,” NREL/TP-5500-51978, 1023095, Aug. 2011. doi: 10.2172/1023095.</w:t>
      </w:r>
    </w:p>
    <w:p w:rsidRPr="003F097B" w:rsidR="003F097B" w:rsidP="003F097B" w:rsidRDefault="003F097B" w14:paraId="0E4B3422" w14:textId="77777777">
      <w:pPr>
        <w:pStyle w:val="Bibliography"/>
        <w:rPr>
          <w:rFonts w:ascii="Calibri" w:hAnsi="Calibri" w:cs="Calibri"/>
        </w:rPr>
      </w:pPr>
      <w:r w:rsidRPr="003F097B">
        <w:rPr>
          <w:rFonts w:ascii="Calibri" w:hAnsi="Calibri" w:cs="Calibri"/>
        </w:rPr>
        <w:t>[16]</w:t>
      </w:r>
      <w:r w:rsidRPr="003F097B">
        <w:rPr>
          <w:rFonts w:ascii="Calibri" w:hAnsi="Calibri" w:cs="Calibri"/>
        </w:rPr>
        <w:tab/>
      </w:r>
      <w:r w:rsidRPr="003F097B">
        <w:rPr>
          <w:rFonts w:ascii="Calibri" w:hAnsi="Calibri" w:cs="Calibri"/>
        </w:rPr>
        <w:t xml:space="preserve">H. Holttinen </w:t>
      </w:r>
      <w:r w:rsidRPr="003F097B">
        <w:rPr>
          <w:rFonts w:ascii="Calibri" w:hAnsi="Calibri" w:cs="Calibri"/>
          <w:i/>
          <w:iCs/>
        </w:rPr>
        <w:t>et al.</w:t>
      </w:r>
      <w:r w:rsidRPr="003F097B">
        <w:rPr>
          <w:rFonts w:ascii="Calibri" w:hAnsi="Calibri" w:cs="Calibri"/>
        </w:rPr>
        <w:t xml:space="preserve">, “Methodologies to Determine Operating Reserves Due to Increased Wind Power,” </w:t>
      </w:r>
      <w:r w:rsidRPr="003F097B">
        <w:rPr>
          <w:rFonts w:ascii="Calibri" w:hAnsi="Calibri" w:cs="Calibri"/>
          <w:i/>
          <w:iCs/>
        </w:rPr>
        <w:t>IEEE Trans. Sustain. Energy</w:t>
      </w:r>
      <w:r w:rsidRPr="003F097B">
        <w:rPr>
          <w:rFonts w:ascii="Calibri" w:hAnsi="Calibri" w:cs="Calibri"/>
        </w:rPr>
        <w:t>, vol. 3, no. 4, pp. 713–723, Oct. 2012, doi: 10.1109/TSTE.2012.2208207.</w:t>
      </w:r>
    </w:p>
    <w:p w:rsidRPr="003F097B" w:rsidR="003F097B" w:rsidP="003F097B" w:rsidRDefault="003F097B" w14:paraId="761BBB70" w14:textId="77777777">
      <w:pPr>
        <w:pStyle w:val="Bibliography"/>
        <w:rPr>
          <w:rFonts w:ascii="Calibri" w:hAnsi="Calibri" w:cs="Calibri"/>
        </w:rPr>
      </w:pPr>
      <w:r w:rsidRPr="003F097B">
        <w:rPr>
          <w:rFonts w:ascii="Calibri" w:hAnsi="Calibri" w:cs="Calibri"/>
        </w:rPr>
        <w:t>[17]</w:t>
      </w:r>
      <w:r w:rsidRPr="003F097B">
        <w:rPr>
          <w:rFonts w:ascii="Calibri" w:hAnsi="Calibri" w:cs="Calibri"/>
        </w:rPr>
        <w:tab/>
      </w:r>
      <w:r w:rsidRPr="003F097B">
        <w:rPr>
          <w:rFonts w:ascii="Calibri" w:hAnsi="Calibri" w:cs="Calibri"/>
        </w:rPr>
        <w:t xml:space="preserve">Y. V. Makarov, C. Loutan, J. Ma, and P. de Mello, “Operational Impacts of Wind Generation on California Power Systems,” </w:t>
      </w:r>
      <w:r w:rsidRPr="003F097B">
        <w:rPr>
          <w:rFonts w:ascii="Calibri" w:hAnsi="Calibri" w:cs="Calibri"/>
          <w:i/>
          <w:iCs/>
        </w:rPr>
        <w:t>IEEE Trans. Power Syst.</w:t>
      </w:r>
      <w:r w:rsidRPr="003F097B">
        <w:rPr>
          <w:rFonts w:ascii="Calibri" w:hAnsi="Calibri" w:cs="Calibri"/>
        </w:rPr>
        <w:t>, vol. 24, no. 2, pp. 1039–1050, May 2009, doi: 10.1109/TPWRS.2009.2016364.</w:t>
      </w:r>
    </w:p>
    <w:p w:rsidRPr="003F097B" w:rsidR="003F097B" w:rsidP="003F097B" w:rsidRDefault="003F097B" w14:paraId="20F2B5A5" w14:textId="77777777">
      <w:pPr>
        <w:pStyle w:val="Bibliography"/>
        <w:rPr>
          <w:rFonts w:ascii="Calibri" w:hAnsi="Calibri" w:cs="Calibri"/>
        </w:rPr>
      </w:pPr>
      <w:r w:rsidRPr="003F097B">
        <w:rPr>
          <w:rFonts w:ascii="Calibri" w:hAnsi="Calibri" w:cs="Calibri"/>
        </w:rPr>
        <w:t>[18]</w:t>
      </w:r>
      <w:r w:rsidRPr="003F097B">
        <w:rPr>
          <w:rFonts w:ascii="Calibri" w:hAnsi="Calibri" w:cs="Calibri"/>
        </w:rPr>
        <w:tab/>
      </w:r>
      <w:r w:rsidRPr="003F097B">
        <w:rPr>
          <w:rFonts w:ascii="Calibri" w:hAnsi="Calibri" w:cs="Calibri"/>
        </w:rPr>
        <w:t xml:space="preserve">Y. V. Makarov, P. Du, M. A. Pai, and B. McManus, “Calculating Individual Resources Variability and Uncertainty Factors Based on Their Contributions to the Overall System Balancing Needs,” </w:t>
      </w:r>
      <w:r w:rsidRPr="003F097B">
        <w:rPr>
          <w:rFonts w:ascii="Calibri" w:hAnsi="Calibri" w:cs="Calibri"/>
          <w:i/>
          <w:iCs/>
        </w:rPr>
        <w:t>IEEE Trans. Sustain. Energy</w:t>
      </w:r>
      <w:r w:rsidRPr="003F097B">
        <w:rPr>
          <w:rFonts w:ascii="Calibri" w:hAnsi="Calibri" w:cs="Calibri"/>
        </w:rPr>
        <w:t>, vol. 5, no. 1, pp. 323–331, Jan. 2014, doi: 10.1109/TSTE.2013.2283712.</w:t>
      </w:r>
    </w:p>
    <w:p w:rsidRPr="00C86EBF" w:rsidR="00294597" w:rsidP="00B427D9" w:rsidRDefault="00294597" w14:paraId="0EB8DB8F" w14:textId="66D5F6DC">
      <w:pPr>
        <w:rPr>
          <w:rFonts w:eastAsiaTheme="minorEastAsia"/>
        </w:rPr>
      </w:pPr>
      <w:r>
        <w:rPr>
          <w:rFonts w:eastAsiaTheme="minorEastAsia"/>
        </w:rPr>
        <w:fldChar w:fldCharType="end"/>
      </w:r>
    </w:p>
    <w:p w:rsidR="0FEE133D" w:rsidP="0FEE133D" w:rsidRDefault="0FEE133D" w14:paraId="3F866091" w14:textId="1416E5EF"/>
    <w:sectPr w:rsidR="0FEE133D">
      <w:headerReference w:type="default" r:id="rId16"/>
      <w:footerReference w:type="default" r:id="rId17"/>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PM" w:author="Pierre McWhannel" w:date="2022-11-24T09:24:00Z" w:id="0">
    <w:p w:rsidR="00740D16" w:rsidP="00AE7507" w:rsidRDefault="00740D16" w14:paraId="3EA879E5" w14:textId="77777777">
      <w:pPr>
        <w:pStyle w:val="CommentText"/>
      </w:pPr>
      <w:r>
        <w:rPr>
          <w:rStyle w:val="CommentReference"/>
        </w:rPr>
        <w:annotationRef/>
      </w:r>
      <w:r>
        <w:rPr>
          <w:lang w:val="en-CA"/>
        </w:rPr>
        <w:t>This could be worrisome as load and VRE sources can become quite correlated meaning the variance can be larger than simply accounting for the forecasting errors. However, some of the load uncertainty/variability is inevitably captured in the frequency regulation.</w:t>
      </w:r>
    </w:p>
  </w:comment>
  <w:comment w:initials="PM" w:author="Pierre McWhannel" w:date="2022-11-24T10:10:00Z" w:id="2">
    <w:p w:rsidR="002E73AA" w:rsidP="00413B06" w:rsidRDefault="002E73AA" w14:paraId="1F9F2704" w14:textId="77777777">
      <w:pPr>
        <w:pStyle w:val="CommentText"/>
      </w:pPr>
      <w:r>
        <w:rPr>
          <w:rStyle w:val="CommentReference"/>
        </w:rPr>
        <w:annotationRef/>
      </w:r>
      <w:r>
        <w:rPr>
          <w:lang w:val="en-CA"/>
        </w:rPr>
        <w:t>The fit is often a convex shaped parabola, where the largest s.t.d is occuring when wind turbines are between their rated wind speed and cut in wind speed.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A879E5" w15:done="0"/>
  <w15:commentEx w15:paraId="1F9F27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29B6DA" w16cex:dateUtc="2022-11-24T17:24:00Z"/>
  <w16cex:commentExtensible w16cex:durableId="2729C19A" w16cex:dateUtc="2022-11-24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A879E5" w16cid:durableId="2729B6DA"/>
  <w16cid:commentId w16cid:paraId="1F9F2704" w16cid:durableId="2729C1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0CA2" w:rsidRDefault="00300CA2" w14:paraId="7BF7F4DD" w14:textId="77777777">
      <w:pPr>
        <w:spacing w:after="0" w:line="240" w:lineRule="auto"/>
      </w:pPr>
      <w:r>
        <w:separator/>
      </w:r>
    </w:p>
  </w:endnote>
  <w:endnote w:type="continuationSeparator" w:id="0">
    <w:p w:rsidR="00300CA2" w:rsidRDefault="00300CA2" w14:paraId="62F20B9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349F3F4" w:rsidTr="4349F3F4" w14:paraId="33A79DDB" w14:textId="77777777">
      <w:trPr>
        <w:trHeight w:val="300"/>
      </w:trPr>
      <w:tc>
        <w:tcPr>
          <w:tcW w:w="3005" w:type="dxa"/>
        </w:tcPr>
        <w:p w:rsidR="4349F3F4" w:rsidP="4349F3F4" w:rsidRDefault="4349F3F4" w14:paraId="7D7B2AD6" w14:textId="57F1B432">
          <w:pPr>
            <w:pStyle w:val="Header"/>
            <w:ind w:left="-115"/>
          </w:pPr>
        </w:p>
      </w:tc>
      <w:tc>
        <w:tcPr>
          <w:tcW w:w="3005" w:type="dxa"/>
        </w:tcPr>
        <w:p w:rsidR="4349F3F4" w:rsidP="4349F3F4" w:rsidRDefault="4349F3F4" w14:paraId="190B0982" w14:textId="2CD90978">
          <w:pPr>
            <w:pStyle w:val="Header"/>
            <w:jc w:val="center"/>
          </w:pPr>
        </w:p>
      </w:tc>
      <w:tc>
        <w:tcPr>
          <w:tcW w:w="3005" w:type="dxa"/>
        </w:tcPr>
        <w:p w:rsidR="4349F3F4" w:rsidP="4349F3F4" w:rsidRDefault="4349F3F4" w14:paraId="3E6CC654" w14:textId="281EB05B">
          <w:pPr>
            <w:pStyle w:val="Header"/>
            <w:ind w:right="-115"/>
            <w:jc w:val="right"/>
          </w:pPr>
        </w:p>
      </w:tc>
    </w:tr>
  </w:tbl>
  <w:p w:rsidR="4349F3F4" w:rsidP="4349F3F4" w:rsidRDefault="4349F3F4" w14:paraId="7E36D06A" w14:textId="68AD0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0CA2" w:rsidRDefault="00300CA2" w14:paraId="388245A4" w14:textId="77777777">
      <w:pPr>
        <w:spacing w:after="0" w:line="240" w:lineRule="auto"/>
      </w:pPr>
      <w:r>
        <w:separator/>
      </w:r>
    </w:p>
  </w:footnote>
  <w:footnote w:type="continuationSeparator" w:id="0">
    <w:p w:rsidR="00300CA2" w:rsidRDefault="00300CA2" w14:paraId="2D21A7F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349F3F4" w:rsidTr="4349F3F4" w14:paraId="139C5231" w14:textId="77777777">
      <w:trPr>
        <w:trHeight w:val="300"/>
      </w:trPr>
      <w:tc>
        <w:tcPr>
          <w:tcW w:w="3005" w:type="dxa"/>
        </w:tcPr>
        <w:p w:rsidR="4349F3F4" w:rsidP="4349F3F4" w:rsidRDefault="4349F3F4" w14:paraId="2B2827A7" w14:textId="5D2418CB">
          <w:pPr>
            <w:pStyle w:val="Header"/>
            <w:ind w:left="-115"/>
          </w:pPr>
        </w:p>
      </w:tc>
      <w:tc>
        <w:tcPr>
          <w:tcW w:w="3005" w:type="dxa"/>
        </w:tcPr>
        <w:p w:rsidR="4349F3F4" w:rsidP="4349F3F4" w:rsidRDefault="4349F3F4" w14:paraId="0A3AD00B" w14:textId="5BD37E07">
          <w:pPr>
            <w:pStyle w:val="Header"/>
            <w:jc w:val="center"/>
          </w:pPr>
        </w:p>
      </w:tc>
      <w:tc>
        <w:tcPr>
          <w:tcW w:w="3005" w:type="dxa"/>
        </w:tcPr>
        <w:p w:rsidR="4349F3F4" w:rsidP="4349F3F4" w:rsidRDefault="4349F3F4" w14:paraId="1AEB25AE" w14:textId="70FE2AFC">
          <w:pPr>
            <w:pStyle w:val="Header"/>
            <w:ind w:right="-115"/>
            <w:jc w:val="right"/>
          </w:pPr>
        </w:p>
      </w:tc>
    </w:tr>
  </w:tbl>
  <w:p w:rsidR="4349F3F4" w:rsidP="4349F3F4" w:rsidRDefault="4349F3F4" w14:paraId="46E2B5FA" w14:textId="7BB6F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3F4"/>
    <w:multiLevelType w:val="hybridMultilevel"/>
    <w:tmpl w:val="6966CFA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066D3037"/>
    <w:multiLevelType w:val="hybridMultilevel"/>
    <w:tmpl w:val="D5049E4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0DF05E8D"/>
    <w:multiLevelType w:val="hybridMultilevel"/>
    <w:tmpl w:val="7F14CA72"/>
    <w:lvl w:ilvl="0" w:tplc="758284F0">
      <w:start w:val="1"/>
      <w:numFmt w:val="bullet"/>
      <w:lvlText w:val=""/>
      <w:lvlJc w:val="left"/>
      <w:pPr>
        <w:ind w:left="720" w:hanging="360"/>
      </w:pPr>
      <w:rPr>
        <w:rFonts w:hint="default" w:ascii="Symbol" w:hAnsi="Symbol"/>
      </w:rPr>
    </w:lvl>
    <w:lvl w:ilvl="1" w:tplc="90429594">
      <w:start w:val="1"/>
      <w:numFmt w:val="bullet"/>
      <w:lvlText w:val="o"/>
      <w:lvlJc w:val="left"/>
      <w:pPr>
        <w:ind w:left="1440" w:hanging="360"/>
      </w:pPr>
      <w:rPr>
        <w:rFonts w:hint="default" w:ascii="Courier New" w:hAnsi="Courier New"/>
      </w:rPr>
    </w:lvl>
    <w:lvl w:ilvl="2" w:tplc="C5D2C0A2">
      <w:start w:val="1"/>
      <w:numFmt w:val="bullet"/>
      <w:lvlText w:val=""/>
      <w:lvlJc w:val="left"/>
      <w:pPr>
        <w:ind w:left="2160" w:hanging="360"/>
      </w:pPr>
      <w:rPr>
        <w:rFonts w:hint="default" w:ascii="Wingdings" w:hAnsi="Wingdings"/>
      </w:rPr>
    </w:lvl>
    <w:lvl w:ilvl="3" w:tplc="78D27FF8">
      <w:start w:val="1"/>
      <w:numFmt w:val="bullet"/>
      <w:lvlText w:val=""/>
      <w:lvlJc w:val="left"/>
      <w:pPr>
        <w:ind w:left="2880" w:hanging="360"/>
      </w:pPr>
      <w:rPr>
        <w:rFonts w:hint="default" w:ascii="Symbol" w:hAnsi="Symbol"/>
      </w:rPr>
    </w:lvl>
    <w:lvl w:ilvl="4" w:tplc="BDEA4312">
      <w:start w:val="1"/>
      <w:numFmt w:val="bullet"/>
      <w:lvlText w:val="o"/>
      <w:lvlJc w:val="left"/>
      <w:pPr>
        <w:ind w:left="3600" w:hanging="360"/>
      </w:pPr>
      <w:rPr>
        <w:rFonts w:hint="default" w:ascii="Courier New" w:hAnsi="Courier New"/>
      </w:rPr>
    </w:lvl>
    <w:lvl w:ilvl="5" w:tplc="72B645B4">
      <w:start w:val="1"/>
      <w:numFmt w:val="bullet"/>
      <w:lvlText w:val=""/>
      <w:lvlJc w:val="left"/>
      <w:pPr>
        <w:ind w:left="4320" w:hanging="360"/>
      </w:pPr>
      <w:rPr>
        <w:rFonts w:hint="default" w:ascii="Wingdings" w:hAnsi="Wingdings"/>
      </w:rPr>
    </w:lvl>
    <w:lvl w:ilvl="6" w:tplc="84449BE4">
      <w:start w:val="1"/>
      <w:numFmt w:val="bullet"/>
      <w:lvlText w:val=""/>
      <w:lvlJc w:val="left"/>
      <w:pPr>
        <w:ind w:left="5040" w:hanging="360"/>
      </w:pPr>
      <w:rPr>
        <w:rFonts w:hint="default" w:ascii="Symbol" w:hAnsi="Symbol"/>
      </w:rPr>
    </w:lvl>
    <w:lvl w:ilvl="7" w:tplc="0754A4B2">
      <w:start w:val="1"/>
      <w:numFmt w:val="bullet"/>
      <w:lvlText w:val="o"/>
      <w:lvlJc w:val="left"/>
      <w:pPr>
        <w:ind w:left="5760" w:hanging="360"/>
      </w:pPr>
      <w:rPr>
        <w:rFonts w:hint="default" w:ascii="Courier New" w:hAnsi="Courier New"/>
      </w:rPr>
    </w:lvl>
    <w:lvl w:ilvl="8" w:tplc="BD482E1C">
      <w:start w:val="1"/>
      <w:numFmt w:val="bullet"/>
      <w:lvlText w:val=""/>
      <w:lvlJc w:val="left"/>
      <w:pPr>
        <w:ind w:left="6480" w:hanging="360"/>
      </w:pPr>
      <w:rPr>
        <w:rFonts w:hint="default" w:ascii="Wingdings" w:hAnsi="Wingdings"/>
      </w:rPr>
    </w:lvl>
  </w:abstractNum>
  <w:abstractNum w:abstractNumId="3" w15:restartNumberingAfterBreak="0">
    <w:nsid w:val="1E0C7999"/>
    <w:multiLevelType w:val="hybridMultilevel"/>
    <w:tmpl w:val="5EA4494E"/>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254D228C"/>
    <w:multiLevelType w:val="hybridMultilevel"/>
    <w:tmpl w:val="1070D6B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 w15:restartNumberingAfterBreak="0">
    <w:nsid w:val="2BDE2C9C"/>
    <w:multiLevelType w:val="hybridMultilevel"/>
    <w:tmpl w:val="4144571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2C0ECCD1"/>
    <w:multiLevelType w:val="hybridMultilevel"/>
    <w:tmpl w:val="E3BE9E6C"/>
    <w:lvl w:ilvl="0" w:tplc="2A3A3AA8">
      <w:start w:val="1"/>
      <w:numFmt w:val="bullet"/>
      <w:lvlText w:val=""/>
      <w:lvlJc w:val="left"/>
      <w:pPr>
        <w:ind w:left="720" w:hanging="360"/>
      </w:pPr>
      <w:rPr>
        <w:rFonts w:hint="default" w:ascii="Symbol" w:hAnsi="Symbol"/>
      </w:rPr>
    </w:lvl>
    <w:lvl w:ilvl="1" w:tplc="B0FEB22A">
      <w:start w:val="1"/>
      <w:numFmt w:val="bullet"/>
      <w:lvlText w:val="o"/>
      <w:lvlJc w:val="left"/>
      <w:pPr>
        <w:ind w:left="1440" w:hanging="360"/>
      </w:pPr>
      <w:rPr>
        <w:rFonts w:hint="default" w:ascii="Courier New" w:hAnsi="Courier New"/>
      </w:rPr>
    </w:lvl>
    <w:lvl w:ilvl="2" w:tplc="9E943CF2">
      <w:start w:val="1"/>
      <w:numFmt w:val="bullet"/>
      <w:lvlText w:val=""/>
      <w:lvlJc w:val="left"/>
      <w:pPr>
        <w:ind w:left="2160" w:hanging="360"/>
      </w:pPr>
      <w:rPr>
        <w:rFonts w:hint="default" w:ascii="Wingdings" w:hAnsi="Wingdings"/>
      </w:rPr>
    </w:lvl>
    <w:lvl w:ilvl="3" w:tplc="96305A66">
      <w:start w:val="1"/>
      <w:numFmt w:val="bullet"/>
      <w:lvlText w:val=""/>
      <w:lvlJc w:val="left"/>
      <w:pPr>
        <w:ind w:left="2880" w:hanging="360"/>
      </w:pPr>
      <w:rPr>
        <w:rFonts w:hint="default" w:ascii="Symbol" w:hAnsi="Symbol"/>
      </w:rPr>
    </w:lvl>
    <w:lvl w:ilvl="4" w:tplc="5CE4F85A">
      <w:start w:val="1"/>
      <w:numFmt w:val="bullet"/>
      <w:lvlText w:val="o"/>
      <w:lvlJc w:val="left"/>
      <w:pPr>
        <w:ind w:left="3600" w:hanging="360"/>
      </w:pPr>
      <w:rPr>
        <w:rFonts w:hint="default" w:ascii="Courier New" w:hAnsi="Courier New"/>
      </w:rPr>
    </w:lvl>
    <w:lvl w:ilvl="5" w:tplc="189A4784">
      <w:start w:val="1"/>
      <w:numFmt w:val="bullet"/>
      <w:lvlText w:val=""/>
      <w:lvlJc w:val="left"/>
      <w:pPr>
        <w:ind w:left="4320" w:hanging="360"/>
      </w:pPr>
      <w:rPr>
        <w:rFonts w:hint="default" w:ascii="Wingdings" w:hAnsi="Wingdings"/>
      </w:rPr>
    </w:lvl>
    <w:lvl w:ilvl="6" w:tplc="1E702932">
      <w:start w:val="1"/>
      <w:numFmt w:val="bullet"/>
      <w:lvlText w:val=""/>
      <w:lvlJc w:val="left"/>
      <w:pPr>
        <w:ind w:left="5040" w:hanging="360"/>
      </w:pPr>
      <w:rPr>
        <w:rFonts w:hint="default" w:ascii="Symbol" w:hAnsi="Symbol"/>
      </w:rPr>
    </w:lvl>
    <w:lvl w:ilvl="7" w:tplc="E984158E">
      <w:start w:val="1"/>
      <w:numFmt w:val="bullet"/>
      <w:lvlText w:val="o"/>
      <w:lvlJc w:val="left"/>
      <w:pPr>
        <w:ind w:left="5760" w:hanging="360"/>
      </w:pPr>
      <w:rPr>
        <w:rFonts w:hint="default" w:ascii="Courier New" w:hAnsi="Courier New"/>
      </w:rPr>
    </w:lvl>
    <w:lvl w:ilvl="8" w:tplc="575239B6">
      <w:start w:val="1"/>
      <w:numFmt w:val="bullet"/>
      <w:lvlText w:val=""/>
      <w:lvlJc w:val="left"/>
      <w:pPr>
        <w:ind w:left="6480" w:hanging="360"/>
      </w:pPr>
      <w:rPr>
        <w:rFonts w:hint="default" w:ascii="Wingdings" w:hAnsi="Wingdings"/>
      </w:rPr>
    </w:lvl>
  </w:abstractNum>
  <w:abstractNum w:abstractNumId="7" w15:restartNumberingAfterBreak="0">
    <w:nsid w:val="2D19585D"/>
    <w:multiLevelType w:val="hybridMultilevel"/>
    <w:tmpl w:val="4DCACD0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 w15:restartNumberingAfterBreak="0">
    <w:nsid w:val="32F3A843"/>
    <w:multiLevelType w:val="hybridMultilevel"/>
    <w:tmpl w:val="993C01DE"/>
    <w:lvl w:ilvl="0" w:tplc="0E1CC5C6">
      <w:start w:val="1"/>
      <w:numFmt w:val="bullet"/>
      <w:lvlText w:val=""/>
      <w:lvlJc w:val="left"/>
      <w:pPr>
        <w:ind w:left="720" w:hanging="360"/>
      </w:pPr>
      <w:rPr>
        <w:rFonts w:hint="default" w:ascii="Symbol" w:hAnsi="Symbol"/>
      </w:rPr>
    </w:lvl>
    <w:lvl w:ilvl="1" w:tplc="F1E80D36">
      <w:start w:val="1"/>
      <w:numFmt w:val="bullet"/>
      <w:lvlText w:val="o"/>
      <w:lvlJc w:val="left"/>
      <w:pPr>
        <w:ind w:left="1440" w:hanging="360"/>
      </w:pPr>
      <w:rPr>
        <w:rFonts w:hint="default" w:ascii="Courier New" w:hAnsi="Courier New"/>
      </w:rPr>
    </w:lvl>
    <w:lvl w:ilvl="2" w:tplc="36B8A8D4">
      <w:start w:val="1"/>
      <w:numFmt w:val="bullet"/>
      <w:lvlText w:val=""/>
      <w:lvlJc w:val="left"/>
      <w:pPr>
        <w:ind w:left="2160" w:hanging="360"/>
      </w:pPr>
      <w:rPr>
        <w:rFonts w:hint="default" w:ascii="Wingdings" w:hAnsi="Wingdings"/>
      </w:rPr>
    </w:lvl>
    <w:lvl w:ilvl="3" w:tplc="58B200AE">
      <w:start w:val="1"/>
      <w:numFmt w:val="bullet"/>
      <w:lvlText w:val=""/>
      <w:lvlJc w:val="left"/>
      <w:pPr>
        <w:ind w:left="2880" w:hanging="360"/>
      </w:pPr>
      <w:rPr>
        <w:rFonts w:hint="default" w:ascii="Symbol" w:hAnsi="Symbol"/>
      </w:rPr>
    </w:lvl>
    <w:lvl w:ilvl="4" w:tplc="6C649072">
      <w:start w:val="1"/>
      <w:numFmt w:val="bullet"/>
      <w:lvlText w:val="o"/>
      <w:lvlJc w:val="left"/>
      <w:pPr>
        <w:ind w:left="3600" w:hanging="360"/>
      </w:pPr>
      <w:rPr>
        <w:rFonts w:hint="default" w:ascii="Courier New" w:hAnsi="Courier New"/>
      </w:rPr>
    </w:lvl>
    <w:lvl w:ilvl="5" w:tplc="F218215E">
      <w:start w:val="1"/>
      <w:numFmt w:val="bullet"/>
      <w:lvlText w:val=""/>
      <w:lvlJc w:val="left"/>
      <w:pPr>
        <w:ind w:left="4320" w:hanging="360"/>
      </w:pPr>
      <w:rPr>
        <w:rFonts w:hint="default" w:ascii="Wingdings" w:hAnsi="Wingdings"/>
      </w:rPr>
    </w:lvl>
    <w:lvl w:ilvl="6" w:tplc="71FAF778">
      <w:start w:val="1"/>
      <w:numFmt w:val="bullet"/>
      <w:lvlText w:val=""/>
      <w:lvlJc w:val="left"/>
      <w:pPr>
        <w:ind w:left="5040" w:hanging="360"/>
      </w:pPr>
      <w:rPr>
        <w:rFonts w:hint="default" w:ascii="Symbol" w:hAnsi="Symbol"/>
      </w:rPr>
    </w:lvl>
    <w:lvl w:ilvl="7" w:tplc="4236682A">
      <w:start w:val="1"/>
      <w:numFmt w:val="bullet"/>
      <w:lvlText w:val="o"/>
      <w:lvlJc w:val="left"/>
      <w:pPr>
        <w:ind w:left="5760" w:hanging="360"/>
      </w:pPr>
      <w:rPr>
        <w:rFonts w:hint="default" w:ascii="Courier New" w:hAnsi="Courier New"/>
      </w:rPr>
    </w:lvl>
    <w:lvl w:ilvl="8" w:tplc="B3E01426">
      <w:start w:val="1"/>
      <w:numFmt w:val="bullet"/>
      <w:lvlText w:val=""/>
      <w:lvlJc w:val="left"/>
      <w:pPr>
        <w:ind w:left="6480" w:hanging="360"/>
      </w:pPr>
      <w:rPr>
        <w:rFonts w:hint="default" w:ascii="Wingdings" w:hAnsi="Wingdings"/>
      </w:rPr>
    </w:lvl>
  </w:abstractNum>
  <w:abstractNum w:abstractNumId="9" w15:restartNumberingAfterBreak="0">
    <w:nsid w:val="3AF296B1"/>
    <w:multiLevelType w:val="hybridMultilevel"/>
    <w:tmpl w:val="6226CF36"/>
    <w:lvl w:ilvl="0" w:tplc="FF82A3E0">
      <w:start w:val="1"/>
      <w:numFmt w:val="bullet"/>
      <w:lvlText w:val=""/>
      <w:lvlJc w:val="left"/>
      <w:pPr>
        <w:ind w:left="720" w:hanging="360"/>
      </w:pPr>
      <w:rPr>
        <w:rFonts w:hint="default" w:ascii="Symbol" w:hAnsi="Symbol"/>
      </w:rPr>
    </w:lvl>
    <w:lvl w:ilvl="1" w:tplc="5FEEB6EA">
      <w:start w:val="1"/>
      <w:numFmt w:val="bullet"/>
      <w:lvlText w:val="o"/>
      <w:lvlJc w:val="left"/>
      <w:pPr>
        <w:ind w:left="1440" w:hanging="360"/>
      </w:pPr>
      <w:rPr>
        <w:rFonts w:hint="default" w:ascii="Courier New" w:hAnsi="Courier New"/>
      </w:rPr>
    </w:lvl>
    <w:lvl w:ilvl="2" w:tplc="ABDA6060">
      <w:start w:val="1"/>
      <w:numFmt w:val="bullet"/>
      <w:lvlText w:val=""/>
      <w:lvlJc w:val="left"/>
      <w:pPr>
        <w:ind w:left="2160" w:hanging="360"/>
      </w:pPr>
      <w:rPr>
        <w:rFonts w:hint="default" w:ascii="Wingdings" w:hAnsi="Wingdings"/>
      </w:rPr>
    </w:lvl>
    <w:lvl w:ilvl="3" w:tplc="A43C12A4">
      <w:start w:val="1"/>
      <w:numFmt w:val="bullet"/>
      <w:lvlText w:val=""/>
      <w:lvlJc w:val="left"/>
      <w:pPr>
        <w:ind w:left="2880" w:hanging="360"/>
      </w:pPr>
      <w:rPr>
        <w:rFonts w:hint="default" w:ascii="Symbol" w:hAnsi="Symbol"/>
      </w:rPr>
    </w:lvl>
    <w:lvl w:ilvl="4" w:tplc="9488A2FC">
      <w:start w:val="1"/>
      <w:numFmt w:val="bullet"/>
      <w:lvlText w:val="o"/>
      <w:lvlJc w:val="left"/>
      <w:pPr>
        <w:ind w:left="3600" w:hanging="360"/>
      </w:pPr>
      <w:rPr>
        <w:rFonts w:hint="default" w:ascii="Courier New" w:hAnsi="Courier New"/>
      </w:rPr>
    </w:lvl>
    <w:lvl w:ilvl="5" w:tplc="21BA53E6">
      <w:start w:val="1"/>
      <w:numFmt w:val="bullet"/>
      <w:lvlText w:val=""/>
      <w:lvlJc w:val="left"/>
      <w:pPr>
        <w:ind w:left="4320" w:hanging="360"/>
      </w:pPr>
      <w:rPr>
        <w:rFonts w:hint="default" w:ascii="Wingdings" w:hAnsi="Wingdings"/>
      </w:rPr>
    </w:lvl>
    <w:lvl w:ilvl="6" w:tplc="11E61622">
      <w:start w:val="1"/>
      <w:numFmt w:val="bullet"/>
      <w:lvlText w:val=""/>
      <w:lvlJc w:val="left"/>
      <w:pPr>
        <w:ind w:left="5040" w:hanging="360"/>
      </w:pPr>
      <w:rPr>
        <w:rFonts w:hint="default" w:ascii="Symbol" w:hAnsi="Symbol"/>
      </w:rPr>
    </w:lvl>
    <w:lvl w:ilvl="7" w:tplc="5B9CEA64">
      <w:start w:val="1"/>
      <w:numFmt w:val="bullet"/>
      <w:lvlText w:val="o"/>
      <w:lvlJc w:val="left"/>
      <w:pPr>
        <w:ind w:left="5760" w:hanging="360"/>
      </w:pPr>
      <w:rPr>
        <w:rFonts w:hint="default" w:ascii="Courier New" w:hAnsi="Courier New"/>
      </w:rPr>
    </w:lvl>
    <w:lvl w:ilvl="8" w:tplc="9EEEA0B6">
      <w:start w:val="1"/>
      <w:numFmt w:val="bullet"/>
      <w:lvlText w:val=""/>
      <w:lvlJc w:val="left"/>
      <w:pPr>
        <w:ind w:left="6480" w:hanging="360"/>
      </w:pPr>
      <w:rPr>
        <w:rFonts w:hint="default" w:ascii="Wingdings" w:hAnsi="Wingdings"/>
      </w:rPr>
    </w:lvl>
  </w:abstractNum>
  <w:abstractNum w:abstractNumId="10" w15:restartNumberingAfterBreak="0">
    <w:nsid w:val="419E5F99"/>
    <w:multiLevelType w:val="hybridMultilevel"/>
    <w:tmpl w:val="F446A9C0"/>
    <w:lvl w:ilvl="0" w:tplc="B2A01592">
      <w:start w:val="1"/>
      <w:numFmt w:val="bullet"/>
      <w:lvlText w:val=""/>
      <w:lvlJc w:val="left"/>
      <w:pPr>
        <w:ind w:left="720" w:hanging="360"/>
      </w:pPr>
      <w:rPr>
        <w:rFonts w:hint="default" w:ascii="Symbol" w:hAnsi="Symbol"/>
      </w:rPr>
    </w:lvl>
    <w:lvl w:ilvl="1" w:tplc="F4588E40">
      <w:start w:val="1"/>
      <w:numFmt w:val="bullet"/>
      <w:lvlText w:val="o"/>
      <w:lvlJc w:val="left"/>
      <w:pPr>
        <w:ind w:left="1440" w:hanging="360"/>
      </w:pPr>
      <w:rPr>
        <w:rFonts w:hint="default" w:ascii="Courier New" w:hAnsi="Courier New"/>
      </w:rPr>
    </w:lvl>
    <w:lvl w:ilvl="2" w:tplc="CC68355A">
      <w:start w:val="1"/>
      <w:numFmt w:val="bullet"/>
      <w:lvlText w:val=""/>
      <w:lvlJc w:val="left"/>
      <w:pPr>
        <w:ind w:left="2160" w:hanging="360"/>
      </w:pPr>
      <w:rPr>
        <w:rFonts w:hint="default" w:ascii="Wingdings" w:hAnsi="Wingdings"/>
      </w:rPr>
    </w:lvl>
    <w:lvl w:ilvl="3" w:tplc="13562B36">
      <w:start w:val="1"/>
      <w:numFmt w:val="bullet"/>
      <w:lvlText w:val=""/>
      <w:lvlJc w:val="left"/>
      <w:pPr>
        <w:ind w:left="2880" w:hanging="360"/>
      </w:pPr>
      <w:rPr>
        <w:rFonts w:hint="default" w:ascii="Symbol" w:hAnsi="Symbol"/>
      </w:rPr>
    </w:lvl>
    <w:lvl w:ilvl="4" w:tplc="17544D70">
      <w:start w:val="1"/>
      <w:numFmt w:val="bullet"/>
      <w:lvlText w:val="o"/>
      <w:lvlJc w:val="left"/>
      <w:pPr>
        <w:ind w:left="3600" w:hanging="360"/>
      </w:pPr>
      <w:rPr>
        <w:rFonts w:hint="default" w:ascii="Courier New" w:hAnsi="Courier New"/>
      </w:rPr>
    </w:lvl>
    <w:lvl w:ilvl="5" w:tplc="2C3A3108">
      <w:start w:val="1"/>
      <w:numFmt w:val="bullet"/>
      <w:lvlText w:val=""/>
      <w:lvlJc w:val="left"/>
      <w:pPr>
        <w:ind w:left="4320" w:hanging="360"/>
      </w:pPr>
      <w:rPr>
        <w:rFonts w:hint="default" w:ascii="Wingdings" w:hAnsi="Wingdings"/>
      </w:rPr>
    </w:lvl>
    <w:lvl w:ilvl="6" w:tplc="47B68624">
      <w:start w:val="1"/>
      <w:numFmt w:val="bullet"/>
      <w:lvlText w:val=""/>
      <w:lvlJc w:val="left"/>
      <w:pPr>
        <w:ind w:left="5040" w:hanging="360"/>
      </w:pPr>
      <w:rPr>
        <w:rFonts w:hint="default" w:ascii="Symbol" w:hAnsi="Symbol"/>
      </w:rPr>
    </w:lvl>
    <w:lvl w:ilvl="7" w:tplc="9CF28116">
      <w:start w:val="1"/>
      <w:numFmt w:val="bullet"/>
      <w:lvlText w:val="o"/>
      <w:lvlJc w:val="left"/>
      <w:pPr>
        <w:ind w:left="5760" w:hanging="360"/>
      </w:pPr>
      <w:rPr>
        <w:rFonts w:hint="default" w:ascii="Courier New" w:hAnsi="Courier New"/>
      </w:rPr>
    </w:lvl>
    <w:lvl w:ilvl="8" w:tplc="BA90A956">
      <w:start w:val="1"/>
      <w:numFmt w:val="bullet"/>
      <w:lvlText w:val=""/>
      <w:lvlJc w:val="left"/>
      <w:pPr>
        <w:ind w:left="6480" w:hanging="360"/>
      </w:pPr>
      <w:rPr>
        <w:rFonts w:hint="default" w:ascii="Wingdings" w:hAnsi="Wingdings"/>
      </w:rPr>
    </w:lvl>
  </w:abstractNum>
  <w:abstractNum w:abstractNumId="11" w15:restartNumberingAfterBreak="0">
    <w:nsid w:val="4DC66F9B"/>
    <w:multiLevelType w:val="hybridMultilevel"/>
    <w:tmpl w:val="A3DA6AF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16E2F17"/>
    <w:multiLevelType w:val="hybridMultilevel"/>
    <w:tmpl w:val="7D8E1456"/>
    <w:lvl w:ilvl="0" w:tplc="10090001">
      <w:start w:val="1"/>
      <w:numFmt w:val="bullet"/>
      <w:lvlText w:val=""/>
      <w:lvlJc w:val="left"/>
      <w:pPr>
        <w:ind w:left="3600" w:hanging="360"/>
      </w:pPr>
      <w:rPr>
        <w:rFonts w:hint="default" w:ascii="Symbol" w:hAnsi="Symbol"/>
      </w:rPr>
    </w:lvl>
    <w:lvl w:ilvl="1" w:tplc="10090003" w:tentative="1">
      <w:start w:val="1"/>
      <w:numFmt w:val="bullet"/>
      <w:lvlText w:val="o"/>
      <w:lvlJc w:val="left"/>
      <w:pPr>
        <w:ind w:left="4320" w:hanging="360"/>
      </w:pPr>
      <w:rPr>
        <w:rFonts w:hint="default" w:ascii="Courier New" w:hAnsi="Courier New" w:cs="Courier New"/>
      </w:rPr>
    </w:lvl>
    <w:lvl w:ilvl="2" w:tplc="10090005" w:tentative="1">
      <w:start w:val="1"/>
      <w:numFmt w:val="bullet"/>
      <w:lvlText w:val=""/>
      <w:lvlJc w:val="left"/>
      <w:pPr>
        <w:ind w:left="5040" w:hanging="360"/>
      </w:pPr>
      <w:rPr>
        <w:rFonts w:hint="default" w:ascii="Wingdings" w:hAnsi="Wingdings"/>
      </w:rPr>
    </w:lvl>
    <w:lvl w:ilvl="3" w:tplc="10090001" w:tentative="1">
      <w:start w:val="1"/>
      <w:numFmt w:val="bullet"/>
      <w:lvlText w:val=""/>
      <w:lvlJc w:val="left"/>
      <w:pPr>
        <w:ind w:left="5760" w:hanging="360"/>
      </w:pPr>
      <w:rPr>
        <w:rFonts w:hint="default" w:ascii="Symbol" w:hAnsi="Symbol"/>
      </w:rPr>
    </w:lvl>
    <w:lvl w:ilvl="4" w:tplc="10090003" w:tentative="1">
      <w:start w:val="1"/>
      <w:numFmt w:val="bullet"/>
      <w:lvlText w:val="o"/>
      <w:lvlJc w:val="left"/>
      <w:pPr>
        <w:ind w:left="6480" w:hanging="360"/>
      </w:pPr>
      <w:rPr>
        <w:rFonts w:hint="default" w:ascii="Courier New" w:hAnsi="Courier New" w:cs="Courier New"/>
      </w:rPr>
    </w:lvl>
    <w:lvl w:ilvl="5" w:tplc="10090005" w:tentative="1">
      <w:start w:val="1"/>
      <w:numFmt w:val="bullet"/>
      <w:lvlText w:val=""/>
      <w:lvlJc w:val="left"/>
      <w:pPr>
        <w:ind w:left="7200" w:hanging="360"/>
      </w:pPr>
      <w:rPr>
        <w:rFonts w:hint="default" w:ascii="Wingdings" w:hAnsi="Wingdings"/>
      </w:rPr>
    </w:lvl>
    <w:lvl w:ilvl="6" w:tplc="10090001" w:tentative="1">
      <w:start w:val="1"/>
      <w:numFmt w:val="bullet"/>
      <w:lvlText w:val=""/>
      <w:lvlJc w:val="left"/>
      <w:pPr>
        <w:ind w:left="7920" w:hanging="360"/>
      </w:pPr>
      <w:rPr>
        <w:rFonts w:hint="default" w:ascii="Symbol" w:hAnsi="Symbol"/>
      </w:rPr>
    </w:lvl>
    <w:lvl w:ilvl="7" w:tplc="10090003" w:tentative="1">
      <w:start w:val="1"/>
      <w:numFmt w:val="bullet"/>
      <w:lvlText w:val="o"/>
      <w:lvlJc w:val="left"/>
      <w:pPr>
        <w:ind w:left="8640" w:hanging="360"/>
      </w:pPr>
      <w:rPr>
        <w:rFonts w:hint="default" w:ascii="Courier New" w:hAnsi="Courier New" w:cs="Courier New"/>
      </w:rPr>
    </w:lvl>
    <w:lvl w:ilvl="8" w:tplc="10090005" w:tentative="1">
      <w:start w:val="1"/>
      <w:numFmt w:val="bullet"/>
      <w:lvlText w:val=""/>
      <w:lvlJc w:val="left"/>
      <w:pPr>
        <w:ind w:left="9360" w:hanging="360"/>
      </w:pPr>
      <w:rPr>
        <w:rFonts w:hint="default" w:ascii="Wingdings" w:hAnsi="Wingdings"/>
      </w:rPr>
    </w:lvl>
  </w:abstractNum>
  <w:abstractNum w:abstractNumId="13" w15:restartNumberingAfterBreak="0">
    <w:nsid w:val="5CF903E2"/>
    <w:multiLevelType w:val="hybridMultilevel"/>
    <w:tmpl w:val="4E323C08"/>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5DA558C5"/>
    <w:multiLevelType w:val="hybridMultilevel"/>
    <w:tmpl w:val="9C9E042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777530748">
    <w:abstractNumId w:val="2"/>
  </w:num>
  <w:num w:numId="2" w16cid:durableId="476382240">
    <w:abstractNumId w:val="8"/>
  </w:num>
  <w:num w:numId="3" w16cid:durableId="1629123498">
    <w:abstractNumId w:val="9"/>
  </w:num>
  <w:num w:numId="4" w16cid:durableId="274292129">
    <w:abstractNumId w:val="10"/>
  </w:num>
  <w:num w:numId="5" w16cid:durableId="1048264729">
    <w:abstractNumId w:val="6"/>
  </w:num>
  <w:num w:numId="6" w16cid:durableId="2139564432">
    <w:abstractNumId w:val="4"/>
  </w:num>
  <w:num w:numId="7" w16cid:durableId="2362979">
    <w:abstractNumId w:val="5"/>
  </w:num>
  <w:num w:numId="8" w16cid:durableId="1191912091">
    <w:abstractNumId w:val="14"/>
  </w:num>
  <w:num w:numId="9" w16cid:durableId="1885405308">
    <w:abstractNumId w:val="11"/>
  </w:num>
  <w:num w:numId="10" w16cid:durableId="1611401031">
    <w:abstractNumId w:val="12"/>
  </w:num>
  <w:num w:numId="11" w16cid:durableId="1849367519">
    <w:abstractNumId w:val="0"/>
  </w:num>
  <w:num w:numId="12" w16cid:durableId="420494467">
    <w:abstractNumId w:val="3"/>
  </w:num>
  <w:num w:numId="13" w16cid:durableId="998000930">
    <w:abstractNumId w:val="13"/>
  </w:num>
  <w:num w:numId="14" w16cid:durableId="867111159">
    <w:abstractNumId w:val="1"/>
  </w:num>
  <w:num w:numId="15" w16cid:durableId="179687255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ierre McWhannel">
    <w15:presenceInfo w15:providerId="None" w15:userId="Pierre McWhannel"/>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B3AB98"/>
    <w:rsid w:val="0001199F"/>
    <w:rsid w:val="000225EE"/>
    <w:rsid w:val="00022E25"/>
    <w:rsid w:val="000272A1"/>
    <w:rsid w:val="000365E2"/>
    <w:rsid w:val="00046FB1"/>
    <w:rsid w:val="00051E5F"/>
    <w:rsid w:val="000538DF"/>
    <w:rsid w:val="0006093C"/>
    <w:rsid w:val="00071FC4"/>
    <w:rsid w:val="000C2214"/>
    <w:rsid w:val="000D3BFC"/>
    <w:rsid w:val="000E783A"/>
    <w:rsid w:val="00105FF3"/>
    <w:rsid w:val="00120BF4"/>
    <w:rsid w:val="00134C42"/>
    <w:rsid w:val="0014358C"/>
    <w:rsid w:val="001561A1"/>
    <w:rsid w:val="00165021"/>
    <w:rsid w:val="001819D0"/>
    <w:rsid w:val="001A7DC7"/>
    <w:rsid w:val="001B4C2E"/>
    <w:rsid w:val="001D5FD5"/>
    <w:rsid w:val="001E4233"/>
    <w:rsid w:val="00212E12"/>
    <w:rsid w:val="002473A3"/>
    <w:rsid w:val="0026124F"/>
    <w:rsid w:val="00263DE5"/>
    <w:rsid w:val="00265312"/>
    <w:rsid w:val="00272B1E"/>
    <w:rsid w:val="00274420"/>
    <w:rsid w:val="00294597"/>
    <w:rsid w:val="00294C63"/>
    <w:rsid w:val="002963EC"/>
    <w:rsid w:val="002A05DA"/>
    <w:rsid w:val="002C696D"/>
    <w:rsid w:val="002D2BDC"/>
    <w:rsid w:val="002D52A1"/>
    <w:rsid w:val="002D6064"/>
    <w:rsid w:val="002E73AA"/>
    <w:rsid w:val="00300CA2"/>
    <w:rsid w:val="00325000"/>
    <w:rsid w:val="00347D8A"/>
    <w:rsid w:val="00351EBD"/>
    <w:rsid w:val="00352DB7"/>
    <w:rsid w:val="00356550"/>
    <w:rsid w:val="003A6127"/>
    <w:rsid w:val="003B42E6"/>
    <w:rsid w:val="003B6B24"/>
    <w:rsid w:val="003E308F"/>
    <w:rsid w:val="003F097B"/>
    <w:rsid w:val="00401CA4"/>
    <w:rsid w:val="00401E5E"/>
    <w:rsid w:val="00470A32"/>
    <w:rsid w:val="004865E8"/>
    <w:rsid w:val="0048681B"/>
    <w:rsid w:val="00494D4C"/>
    <w:rsid w:val="00497162"/>
    <w:rsid w:val="004C469D"/>
    <w:rsid w:val="0052286C"/>
    <w:rsid w:val="00527841"/>
    <w:rsid w:val="0053091F"/>
    <w:rsid w:val="005426DC"/>
    <w:rsid w:val="00550D6D"/>
    <w:rsid w:val="00551AAC"/>
    <w:rsid w:val="00552436"/>
    <w:rsid w:val="00560B35"/>
    <w:rsid w:val="005679A5"/>
    <w:rsid w:val="005B4E23"/>
    <w:rsid w:val="005B6616"/>
    <w:rsid w:val="005B661F"/>
    <w:rsid w:val="006066F5"/>
    <w:rsid w:val="00642966"/>
    <w:rsid w:val="006565AE"/>
    <w:rsid w:val="00657859"/>
    <w:rsid w:val="006702F1"/>
    <w:rsid w:val="00681A2A"/>
    <w:rsid w:val="0069241E"/>
    <w:rsid w:val="00694C22"/>
    <w:rsid w:val="006A5CEF"/>
    <w:rsid w:val="006A7FFA"/>
    <w:rsid w:val="007176FF"/>
    <w:rsid w:val="00740D16"/>
    <w:rsid w:val="007444A6"/>
    <w:rsid w:val="00751574"/>
    <w:rsid w:val="007625BE"/>
    <w:rsid w:val="007712AE"/>
    <w:rsid w:val="00775E68"/>
    <w:rsid w:val="007839F8"/>
    <w:rsid w:val="007F419F"/>
    <w:rsid w:val="00800413"/>
    <w:rsid w:val="00804A7C"/>
    <w:rsid w:val="00807748"/>
    <w:rsid w:val="008161DF"/>
    <w:rsid w:val="00821620"/>
    <w:rsid w:val="00837838"/>
    <w:rsid w:val="00847E91"/>
    <w:rsid w:val="00870DBE"/>
    <w:rsid w:val="00874962"/>
    <w:rsid w:val="008B141E"/>
    <w:rsid w:val="009108D8"/>
    <w:rsid w:val="0092383C"/>
    <w:rsid w:val="00927705"/>
    <w:rsid w:val="009310FC"/>
    <w:rsid w:val="009336E4"/>
    <w:rsid w:val="009465FA"/>
    <w:rsid w:val="00971D08"/>
    <w:rsid w:val="009818CB"/>
    <w:rsid w:val="00985CEF"/>
    <w:rsid w:val="00994A7D"/>
    <w:rsid w:val="00996A88"/>
    <w:rsid w:val="009A075C"/>
    <w:rsid w:val="009D58B1"/>
    <w:rsid w:val="009F6CB3"/>
    <w:rsid w:val="00A1302D"/>
    <w:rsid w:val="00A21719"/>
    <w:rsid w:val="00A314DA"/>
    <w:rsid w:val="00A3715C"/>
    <w:rsid w:val="00A37BE2"/>
    <w:rsid w:val="00A42B30"/>
    <w:rsid w:val="00A47C93"/>
    <w:rsid w:val="00A56B22"/>
    <w:rsid w:val="00A57E00"/>
    <w:rsid w:val="00A75032"/>
    <w:rsid w:val="00A81690"/>
    <w:rsid w:val="00A81CF5"/>
    <w:rsid w:val="00A83C04"/>
    <w:rsid w:val="00AA2737"/>
    <w:rsid w:val="00AC10F4"/>
    <w:rsid w:val="00AC27A7"/>
    <w:rsid w:val="00AC5CC8"/>
    <w:rsid w:val="00AE0C19"/>
    <w:rsid w:val="00AE29BB"/>
    <w:rsid w:val="00AF39BE"/>
    <w:rsid w:val="00B115DF"/>
    <w:rsid w:val="00B1509E"/>
    <w:rsid w:val="00B221E9"/>
    <w:rsid w:val="00B24D70"/>
    <w:rsid w:val="00B427D9"/>
    <w:rsid w:val="00B916E8"/>
    <w:rsid w:val="00B94466"/>
    <w:rsid w:val="00BA0C6A"/>
    <w:rsid w:val="00BB25CD"/>
    <w:rsid w:val="00BB5260"/>
    <w:rsid w:val="00BD6963"/>
    <w:rsid w:val="00BF0188"/>
    <w:rsid w:val="00BF08AD"/>
    <w:rsid w:val="00C1191E"/>
    <w:rsid w:val="00C11B0C"/>
    <w:rsid w:val="00C43B74"/>
    <w:rsid w:val="00C66DCC"/>
    <w:rsid w:val="00C86EBF"/>
    <w:rsid w:val="00CA401A"/>
    <w:rsid w:val="00CD1894"/>
    <w:rsid w:val="00CD51BB"/>
    <w:rsid w:val="00CE6689"/>
    <w:rsid w:val="00CF618F"/>
    <w:rsid w:val="00D0143B"/>
    <w:rsid w:val="00D32D3C"/>
    <w:rsid w:val="00D5724A"/>
    <w:rsid w:val="00D67884"/>
    <w:rsid w:val="00D73B98"/>
    <w:rsid w:val="00D92DF4"/>
    <w:rsid w:val="00DB0D89"/>
    <w:rsid w:val="00DB7B34"/>
    <w:rsid w:val="00E1024E"/>
    <w:rsid w:val="00E7011E"/>
    <w:rsid w:val="00E742B4"/>
    <w:rsid w:val="00E84C87"/>
    <w:rsid w:val="00E9609E"/>
    <w:rsid w:val="00EB06D7"/>
    <w:rsid w:val="00EC5396"/>
    <w:rsid w:val="00ED2E31"/>
    <w:rsid w:val="00EF32E3"/>
    <w:rsid w:val="00F15597"/>
    <w:rsid w:val="00F42FF1"/>
    <w:rsid w:val="00F47CD0"/>
    <w:rsid w:val="00F51BA1"/>
    <w:rsid w:val="00F669C7"/>
    <w:rsid w:val="00F762EF"/>
    <w:rsid w:val="00F9216D"/>
    <w:rsid w:val="00F966F4"/>
    <w:rsid w:val="00FB2850"/>
    <w:rsid w:val="00FD7ECA"/>
    <w:rsid w:val="00FE7E25"/>
    <w:rsid w:val="00FF07E6"/>
    <w:rsid w:val="00FF44C0"/>
    <w:rsid w:val="0C57C74A"/>
    <w:rsid w:val="0FEE133D"/>
    <w:rsid w:val="11732F9D"/>
    <w:rsid w:val="1176557F"/>
    <w:rsid w:val="1B9186F1"/>
    <w:rsid w:val="2803A853"/>
    <w:rsid w:val="32BF213F"/>
    <w:rsid w:val="38F466B3"/>
    <w:rsid w:val="39B3AB98"/>
    <w:rsid w:val="3F4A7FDA"/>
    <w:rsid w:val="4349F3F4"/>
    <w:rsid w:val="438EFD88"/>
    <w:rsid w:val="4499E334"/>
    <w:rsid w:val="45B9C15E"/>
    <w:rsid w:val="498964F3"/>
    <w:rsid w:val="4CA413C9"/>
    <w:rsid w:val="501E5D75"/>
    <w:rsid w:val="511FF2B1"/>
    <w:rsid w:val="56C3A81B"/>
    <w:rsid w:val="67B4667B"/>
    <w:rsid w:val="6820C821"/>
    <w:rsid w:val="69BC9882"/>
    <w:rsid w:val="6B9C0231"/>
    <w:rsid w:val="7542E477"/>
    <w:rsid w:val="75DAE74A"/>
    <w:rsid w:val="7912880C"/>
    <w:rsid w:val="7E41B9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AB98"/>
  <w15:chartTrackingRefBased/>
  <w15:docId w15:val="{0C690B72-B201-4806-8D2D-298BB7107A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383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sid w:val="0026124F"/>
    <w:rPr>
      <w:color w:val="808080"/>
    </w:rPr>
  </w:style>
  <w:style w:type="character" w:styleId="CommentReference">
    <w:name w:val="annotation reference"/>
    <w:basedOn w:val="DefaultParagraphFont"/>
    <w:uiPriority w:val="99"/>
    <w:semiHidden/>
    <w:unhideWhenUsed/>
    <w:rsid w:val="002473A3"/>
    <w:rPr>
      <w:sz w:val="16"/>
      <w:szCs w:val="16"/>
    </w:rPr>
  </w:style>
  <w:style w:type="paragraph" w:styleId="CommentText">
    <w:name w:val="annotation text"/>
    <w:basedOn w:val="Normal"/>
    <w:link w:val="CommentTextChar"/>
    <w:uiPriority w:val="99"/>
    <w:unhideWhenUsed/>
    <w:rsid w:val="002473A3"/>
    <w:pPr>
      <w:spacing w:line="240" w:lineRule="auto"/>
    </w:pPr>
    <w:rPr>
      <w:sz w:val="20"/>
      <w:szCs w:val="20"/>
    </w:rPr>
  </w:style>
  <w:style w:type="character" w:styleId="CommentTextChar" w:customStyle="1">
    <w:name w:val="Comment Text Char"/>
    <w:basedOn w:val="DefaultParagraphFont"/>
    <w:link w:val="CommentText"/>
    <w:uiPriority w:val="99"/>
    <w:rsid w:val="002473A3"/>
    <w:rPr>
      <w:sz w:val="20"/>
      <w:szCs w:val="20"/>
    </w:rPr>
  </w:style>
  <w:style w:type="paragraph" w:styleId="CommentSubject">
    <w:name w:val="annotation subject"/>
    <w:basedOn w:val="CommentText"/>
    <w:next w:val="CommentText"/>
    <w:link w:val="CommentSubjectChar"/>
    <w:uiPriority w:val="99"/>
    <w:semiHidden/>
    <w:unhideWhenUsed/>
    <w:rsid w:val="002473A3"/>
    <w:rPr>
      <w:b/>
      <w:bCs/>
    </w:rPr>
  </w:style>
  <w:style w:type="character" w:styleId="CommentSubjectChar" w:customStyle="1">
    <w:name w:val="Comment Subject Char"/>
    <w:basedOn w:val="CommentTextChar"/>
    <w:link w:val="CommentSubject"/>
    <w:uiPriority w:val="99"/>
    <w:semiHidden/>
    <w:rsid w:val="002473A3"/>
    <w:rPr>
      <w:b/>
      <w:bCs/>
      <w:sz w:val="20"/>
      <w:szCs w:val="20"/>
    </w:rPr>
  </w:style>
  <w:style w:type="character" w:styleId="Heading2Char" w:customStyle="1">
    <w:name w:val="Heading 2 Char"/>
    <w:basedOn w:val="DefaultParagraphFont"/>
    <w:link w:val="Heading2"/>
    <w:uiPriority w:val="9"/>
    <w:rsid w:val="0092383C"/>
    <w:rPr>
      <w:rFonts w:asciiTheme="majorHAnsi" w:hAnsiTheme="majorHAnsi" w:eastAsiaTheme="majorEastAsia" w:cstheme="majorBidi"/>
      <w:color w:val="2F5496" w:themeColor="accent1" w:themeShade="BF"/>
      <w:sz w:val="26"/>
      <w:szCs w:val="26"/>
    </w:rPr>
  </w:style>
  <w:style w:type="paragraph" w:styleId="Bibliography">
    <w:name w:val="Bibliography"/>
    <w:basedOn w:val="Normal"/>
    <w:next w:val="Normal"/>
    <w:uiPriority w:val="37"/>
    <w:unhideWhenUsed/>
    <w:rsid w:val="00294597"/>
    <w:pPr>
      <w:tabs>
        <w:tab w:val="left" w:pos="384"/>
      </w:tabs>
      <w:spacing w:after="0" w:line="240" w:lineRule="auto"/>
      <w:ind w:left="384" w:hanging="384"/>
    </w:pPr>
  </w:style>
  <w:style w:type="character" w:styleId="Hyperlink">
    <w:name w:val="Hyperlink"/>
    <w:basedOn w:val="DefaultParagraphFont"/>
    <w:uiPriority w:val="99"/>
    <w:unhideWhenUsed/>
    <w:rsid w:val="005B4E23"/>
    <w:rPr>
      <w:color w:val="0563C1" w:themeColor="hyperlink"/>
      <w:u w:val="single"/>
    </w:rPr>
  </w:style>
  <w:style w:type="character" w:styleId="UnresolvedMention">
    <w:name w:val="Unresolved Mention"/>
    <w:basedOn w:val="DefaultParagraphFont"/>
    <w:uiPriority w:val="99"/>
    <w:semiHidden/>
    <w:unhideWhenUsed/>
    <w:rsid w:val="005B4E23"/>
    <w:rPr>
      <w:color w:val="605E5C"/>
      <w:shd w:val="clear" w:color="auto" w:fill="E1DFDD"/>
    </w:rPr>
  </w:style>
  <w:style w:type="character" w:styleId="FollowedHyperlink">
    <w:name w:val="FollowedHyperlink"/>
    <w:basedOn w:val="DefaultParagraphFont"/>
    <w:uiPriority w:val="99"/>
    <w:semiHidden/>
    <w:unhideWhenUsed/>
    <w:rsid w:val="007444A6"/>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nrel.gov/docs/fy11osti/51978.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erc.com/pa/RAPA/ri/Pages/PlanningReserveMargin.asp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ieeexplore-ieee-org.proxy.lib.sfu.ca/abstract/document/6299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30838-41D4-4428-AF1A-AF2EB483E8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Pierre McWhannel</dc:creator>
  <keywords/>
  <dc:description/>
  <lastModifiedBy>Pierre McWhannel</lastModifiedBy>
  <revision>187</revision>
  <dcterms:created xsi:type="dcterms:W3CDTF">2024-07-04T17:05:00.0000000Z</dcterms:created>
  <dcterms:modified xsi:type="dcterms:W3CDTF">2024-07-04T17:06:12.6298907Z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id="5yfz9Sp2"/&gt;&lt;style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