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Acuerdo para el desarrollo de Trabajo Profesional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Buenos Aires, a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los 18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días del mes de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octubre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año dos mil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diecisiete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reúnen en el Departamento de Computación de la Facultad de Ingeniería de la Universidad de Buenos Aires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el profesor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Lic. Luis Argerich con el estudiante de la carrera de Ingeniería en Informática Sr. Martinez Gaston Alberto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Padrón N°: 91.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383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tratar la elección y acuerdo del tema de Trabajo Profesional para el Ciclo Superior de la carrera.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Teniendo en cuenta la propuesta presentada por el alumno más las observaciones y mejoras propuestas por el pro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fesor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ha acordado el plan de trabajo para el desarrollo e implementación del proyecto “</w:t>
      </w:r>
      <w:r w:rsidDel="00000000" w:rsidR="00000000" w:rsidRPr="00000000">
        <w:rPr>
          <w:rFonts w:ascii="Liberation Sans" w:cs="Liberation Sans" w:eastAsia="Liberation Sans" w:hAnsi="Liberation Sans"/>
          <w:i w:val="1"/>
          <w:rtl w:val="0"/>
        </w:rPr>
        <w:t xml:space="preserve">Análisis de sentimientos más allá de la polaridad sobre el stream de Twitter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que figura en el documento adjuntado.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acuerdo consiste en las siguientes pautas: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El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Gaston Alberto Martinez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realizará todas las etapas para la construcción e implementación del sistema.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El trabajo a realizar será presentado para cumplir los requisitos de la materia Trabajo Profesional.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El profesor Lic. Luis Argerich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acepta la función de tutor para dicho trabajo.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96.0" w:type="dxa"/>
        <w:jc w:val="left"/>
        <w:tblInd w:w="2268.0" w:type="dxa"/>
        <w:tblLayout w:type="fixed"/>
        <w:tblLook w:val="0000"/>
      </w:tblPr>
      <w:tblGrid>
        <w:gridCol w:w="3245"/>
        <w:gridCol w:w="3051"/>
        <w:tblGridChange w:id="0">
          <w:tblGrid>
            <w:gridCol w:w="3245"/>
            <w:gridCol w:w="3051"/>
          </w:tblGrid>
        </w:tblGridChange>
      </w:tblGrid>
      <w:tr>
        <w:trPr>
          <w:trHeight w:val="22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Lic. Luis Argerich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Sr. Gaston A. Martinez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righ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