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00"/>
      </w:pPr>
    </w:p>
    <w:p>
      <w:pPr>
        <w:spacing w:after="100"/>
      </w:pPr>
    </w:p>
    <w:p>
      <w:pPr>
        <w:spacing w:after="100"/>
      </w:pPr>
    </w:p>
    <w:p>
      <w:pPr>
        <w:spacing w:after="100"/>
      </w:pPr>
    </w:p>
    <w:p>
      <w:pPr>
        <w:spacing w:after="200"/>
        <w:jc w:val="center"/>
      </w:pPr>
      <w:r>
        <w:rPr>
          <w:rFonts w:ascii="Times New Roman" w:cs="Times New Roman" w:eastAsia="Times New Roman" w:hAnsi="Times New Roman"/>
          <w:b/>
          <w:bCs/>
          <w:sz w:val="48"/>
          <w:szCs w:val="48"/>
        </w:rPr>
        <w:t xml:space="preserve">Semester Project Report</w:t>
      </w:r>
    </w:p>
    <w:p>
      <w:pPr>
        <w:spacing w:after="100"/>
      </w:pPr>
    </w:p>
    <w:p>
      <w:pPr>
        <w:spacing w:after="100"/>
        <w:jc w:val="center"/>
      </w:pPr>
      <w:r>
        <w:rPr>
          <w:rFonts w:ascii="Times New Roman" w:cs="Times New Roman" w:eastAsia="Times New Roman" w:hAnsi="Times New Roman"/>
          <w:sz w:val="32"/>
          <w:szCs w:val="32"/>
        </w:rPr>
        <w:t xml:space="preserve">SSO Credential Phishing and Smishing Simulation:</w:t>
      </w:r>
    </w:p>
    <w:p>
      <w:pPr>
        <w:spacing w:after="200"/>
        <w:jc w:val="center"/>
      </w:pPr>
      <w:r>
        <w:rPr>
          <w:rFonts w:ascii="Times New Roman" w:cs="Times New Roman" w:eastAsia="Times New Roman" w:hAnsi="Times New Roman"/>
          <w:sz w:val="32"/>
          <w:szCs w:val="32"/>
        </w:rPr>
        <w:t xml:space="preserve">A Full Kill-Chain Demonstration</w:t>
      </w:r>
    </w:p>
    <w:p>
      <w:pPr>
        <w:spacing w:after="100"/>
      </w:pPr>
    </w:p>
    <w:p>
      <w:pPr>
        <w:spacing w:after="100"/>
      </w:pPr>
    </w:p>
    <w:p>
      <w:pPr>
        <w:spacing w:after="100"/>
        <w:jc w:val="center"/>
      </w:pPr>
      <w:r>
        <w:rPr>
          <w:rFonts w:ascii="Times New Roman" w:cs="Times New Roman" w:eastAsia="Times New Roman" w:hAnsi="Times New Roman"/>
          <w:sz w:val="24"/>
          <w:szCs w:val="24"/>
        </w:rPr>
        <w:t xml:space="preserve">CECS 378 — Introduction to Computer Security</w:t>
      </w:r>
    </w:p>
    <w:p>
      <w:pPr>
        <w:spacing w:after="100"/>
        <w:jc w:val="center"/>
      </w:pPr>
      <w:r>
        <w:rPr>
          <w:rFonts w:ascii="Times New Roman" w:cs="Times New Roman" w:eastAsia="Times New Roman" w:hAnsi="Times New Roman"/>
          <w:sz w:val="24"/>
          <w:szCs w:val="24"/>
        </w:rPr>
        <w:t xml:space="preserve">Section 3</w:t>
      </w:r>
    </w:p>
    <w:p>
      <w:pPr>
        <w:spacing w:after="100"/>
        <w:jc w:val="center"/>
      </w:pPr>
      <w:r>
        <w:rPr>
          <w:rFonts w:ascii="Times New Roman" w:cs="Times New Roman" w:eastAsia="Times New Roman" w:hAnsi="Times New Roman"/>
          <w:sz w:val="24"/>
          <w:szCs w:val="24"/>
        </w:rPr>
        <w:t xml:space="preserve">Professor Louis Uuh</w:t>
      </w:r>
    </w:p>
    <w:p>
      <w:pPr>
        <w:spacing w:after="100"/>
      </w:pPr>
    </w:p>
    <w:p>
      <w:pPr>
        <w:spacing w:after="100"/>
        <w:jc w:val="center"/>
      </w:pPr>
      <w:r>
        <w:rPr>
          <w:sz w:val="24"/>
          <w:szCs w:val="24"/>
        </w:rPr>
        <w:t xml:space="preserve">Douglas — Project Manager</w:t>
      </w:r>
    </w:p>
    <w:p>
      <w:pPr>
        <w:spacing w:after="100"/>
        <w:jc w:val="center"/>
      </w:pPr>
      <w:r>
        <w:rPr>
          <w:sz w:val="24"/>
          <w:szCs w:val="24"/>
        </w:rPr>
        <w:t xml:space="preserve">Owen — Frontend Development</w:t>
      </w:r>
    </w:p>
    <w:p>
      <w:pPr>
        <w:spacing w:after="100"/>
        <w:jc w:val="center"/>
      </w:pPr>
      <w:r>
        <w:rPr>
          <w:sz w:val="24"/>
          <w:szCs w:val="24"/>
        </w:rPr>
        <w:t xml:space="preserve">Soroush Mirzaee — Backend &amp; SMS Integration</w:t>
      </w:r>
    </w:p>
    <w:p>
      <w:pPr>
        <w:spacing w:after="100"/>
      </w:pPr>
    </w:p>
    <w:p>
      <w:pPr>
        <w:spacing w:after="100"/>
      </w:pPr>
    </w:p>
    <w:p>
      <w:pPr>
        <w:spacing w:after="100"/>
        <w:jc w:val="center"/>
      </w:pPr>
      <w:r>
        <w:rPr>
          <w:rFonts w:ascii="Times New Roman" w:cs="Times New Roman" w:eastAsia="Times New Roman" w:hAnsi="Times New Roman"/>
          <w:sz w:val="24"/>
          <w:szCs w:val="24"/>
        </w:rPr>
        <w:t xml:space="preserve">California State University, Long Beach</w:t>
      </w:r>
    </w:p>
    <w:p>
      <w:pPr>
        <w:jc w:val="center"/>
      </w:pPr>
      <w:r>
        <w:rPr>
          <w:rFonts w:ascii="Times New Roman" w:cs="Times New Roman" w:eastAsia="Times New Roman" w:hAnsi="Times New Roman"/>
          <w:sz w:val="24"/>
          <w:szCs w:val="24"/>
        </w:rPr>
        <w:t xml:space="preserve">April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Introduction</w:t>
      </w:r>
    </w:p>
    <w:p>
      <w:pPr>
        <w:spacing w:after="200" w:line="276"/>
      </w:pPr>
      <w:r>
        <w:t xml:space="preserve">Phishing remains the most prevalent initial access vector in cybersecurity incidents worldwide. According to the 2024 Verizon Data Breach Investigations Report, social engineering attacks—particularly phishing and its SMS-based variant, smishing—account for a significant portion of confirmed data breaches. Despite advances in multi-factor authentication (MFA) and security awareness training, adversary-in-the-middle (AiTM) phishing kits continue to evolve, enabling attackers to bypass even time-based one-time password (TOTP) and SMS-based MFA in real time.</w:t>
      </w:r>
    </w:p>
    <w:p>
      <w:pPr>
        <w:spacing w:after="200" w:line="276"/>
      </w:pPr>
      <w:r>
        <w:t xml:space="preserve">This project demonstrates a complete phishing kill chain targeting a university Single Sign-On (SSO) environment. The simulation replicates the login flow of California State University, Long Beach (CSULB), which uses Microsoft Entra ID (formerly Azure AD) federated authentication. Our objective was not merely to clone the visual appearance of an SSO portal, but to build a fully functional attack pipeline: victim reconnaissance via a Google Form, automated SMS delivery through Twilio, a pixel-perfect credential harvesting frontend, real-time MFA interception, and an attacker command-and-control dashboard—all to illustrate how easily these attacks can be assembled using commodity tools and publicly available information.</w:t>
      </w:r>
    </w:p>
    <w:p>
      <w:pPr>
        <w:spacing w:after="200" w:line="276"/>
      </w:pPr>
      <w:r>
        <w:t xml:space="preserve">The educational value of this project lies in demonstrating the attacker’s perspective in sufficient technical depth that defenders—whether security engineers, system administrators, or everyday users—can understand precisely where and how these attacks succeed, and what countermeasures effectively neutralize them. Every component was built in a controlled environment, tested exclusively against consenting team members, and designed to be presented as a classroom demonstration.</w:t>
      </w:r>
    </w:p>
    <w:p>
      <w:pPr>
        <w:pStyle w:val="Heading1"/>
      </w:pPr>
      <w:r>
        <w:t xml:space="preserve">2. System Architecture and Attack Flow</w:t>
      </w:r>
    </w:p>
    <w:p>
      <w:pPr>
        <w:spacing w:after="200" w:line="276"/>
      </w:pPr>
      <w:r>
        <w:t xml:space="preserve">The phishing simulation follows a five-stage kill chain that mirrors real-world credential phishing operations:</w:t>
      </w:r>
    </w:p>
    <w:p>
      <w:pPr>
        <w:spacing w:after="200" w:line="276"/>
      </w:pPr>
      <w:r>
        <w:rPr>
          <w:b/>
          <w:bCs/>
        </w:rPr>
        <w:t xml:space="preserve">Stage 1 — Reconnaissance and Data Collection. </w:t>
      </w:r>
      <w:r>
        <w:t xml:space="preserve">A Google Form disguised as a campus event registration collects victim names, student email addresses, and phone numbers. The form responses are stored in a Google Sheet that the backend server polls via CSV export, requiring no API keys or OAuth credentials—only that the sheet is published to the web. This stage simulates the open-source intelligence (OSINT) gathering that precedes targeted phishing campaigns.</w:t>
      </w:r>
    </w:p>
    <w:p>
      <w:pPr>
        <w:spacing w:after="200" w:line="276"/>
      </w:pPr>
      <w:r>
        <w:rPr>
          <w:b/>
          <w:bCs/>
        </w:rPr>
        <w:t xml:space="preserve">Stage 2 — Smishing Delivery. </w:t>
      </w:r>
      <w:r>
        <w:t xml:space="preserve">The backend server reads the victim list from the Google Sheet and uses the Twilio API to send SMS messages to each victim’s phone number. The messages are crafted to mimic legitimate CSULB administrative notifications, employing urgency ("registration hold," "classes being dropped") and institutional authority to compel the victim to click a link.</w:t>
      </w:r>
    </w:p>
    <w:p>
      <w:pPr>
        <w:spacing w:after="200" w:line="276"/>
      </w:pPr>
      <w:r>
        <w:rPr>
          <w:b/>
          <w:bCs/>
        </w:rPr>
        <w:t xml:space="preserve">Stage 3 — Credential Harvesting. </w:t>
      </w:r>
      <w:r>
        <w:t xml:space="preserve">The phishing link directs the victim to a React-based frontend that replicates the CSULB Microsoft SSO login flow. The victim enters their email on a Microsoft-branded sign-in page, is redirected to a CSULB-branded password page, and submits their credentials. The frontend intentionally displays a fake error on the first password attempt ("Your account or password is incorrect"), prompting the victim to re-enter their password—a technique used by real phishing kits to confirm credential accuracy.</w:t>
      </w:r>
    </w:p>
    <w:p>
      <w:pPr>
        <w:spacing w:after="200" w:line="276"/>
      </w:pPr>
      <w:r>
        <w:rPr>
          <w:b/>
          <w:bCs/>
        </w:rPr>
        <w:t xml:space="preserve">Stage 4 — MFA Interception. </w:t>
      </w:r>
      <w:r>
        <w:t xml:space="preserve">After credential capture, the victim is presented with a "Verify your identity" page offering SMS or phone call verification. When they select an option, the backend generates a six-digit code and delivers it via Twilio to the victim’s actual phone number (retrieved from the Google Sheet). The victim enters the code on the phishing page, which the backend captures in real time. This demonstrates how AiTM phishing kits relay MFA challenges, effectively rendering SMS-based MFA useless.</w:t>
      </w:r>
    </w:p>
    <w:p>
      <w:pPr>
        <w:spacing w:after="200" w:line="276"/>
      </w:pPr>
      <w:r>
        <w:rPr>
          <w:b/>
          <w:bCs/>
        </w:rPr>
        <w:t xml:space="preserve">Stage 5 — Seamless Redirect. </w:t>
      </w:r>
      <w:r>
        <w:t xml:space="preserve">Upon successful MFA code entry, the victim is transparently redirected to the real CSULB SSO portal (sso.csulb.edu). From the victim’s perspective, the login simply "worked," leaving no indication that credentials and MFA codes were intercepted.</w:t>
      </w:r>
    </w:p>
    <w:p>
      <w:pPr>
        <w:spacing w:after="100"/>
      </w:pPr>
    </w:p>
    <w:p>
      <w:pPr>
        <w:spacing w:after="200" w:line="276"/>
      </w:pPr>
      <w:r>
        <w:t xml:space="preserve">The system is composed of two primary components: a React/TypeScript frontend served by Vite, and a Node.js/Express backend that manages data storage, Twilio integration, Google Sheet polling, and the attacker dashboard API. The frontend and backend communicate over a REST API on localhost, with the backend persisting captured data to a JSON file on disk.</w:t>
      </w:r>
    </w:p>
    <w:p>
      <w:r>
        <w:br w:type="page"/>
      </w:r>
    </w:p>
    <w:p>
      <w:pPr>
        <w:pStyle w:val="Heading1"/>
      </w:pPr>
      <w:r>
        <w:t xml:space="preserve">3. Frontend Implementation</w:t>
      </w:r>
    </w:p>
    <w:p>
      <w:pPr>
        <w:pStyle w:val="Heading2"/>
      </w:pPr>
      <w:r>
        <w:t xml:space="preserve">3.1 Design Process</w:t>
      </w:r>
    </w:p>
    <w:p>
      <w:pPr>
        <w:spacing w:after="200" w:line="276"/>
      </w:pPr>
      <w:r>
        <w:t xml:space="preserve">The frontend’s primary objective was to achieve pixel-perfect visual fidelity with the real CSULB Microsoft SSO login flow. Any discrepancy in font rendering, spacing, color, or animation would immediately alert a security-conscious user. Figma was used as the primary design tool, beginning with wireframes to define the multi-step authentication flow, followed by refined high-fidelity mockups with finalized typography, colors, and spacing extracted directly from the legitimate SSO pages.</w:t>
      </w:r>
    </w:p>
    <w:p>
      <w:pPr>
        <w:spacing w:after="200" w:line="276"/>
      </w:pPr>
      <w:r>
        <w:t xml:space="preserve">Reusable components—buttons, input fields, card containers, and layout wrappers—were designed in Figma to ensure visual consistency across all screens. Figma’s inspect tool provided precise CSS values (padding, margin, font-size, border-radius, box-shadow) during the developer handoff stage, minimizing guesswork and ensuring the implemented code matched the target designs exactly.</w:t>
      </w:r>
    </w:p>
    <w:p>
      <w:pPr>
        <w:pStyle w:val="Heading2"/>
      </w:pPr>
      <w:r>
        <w:t xml:space="preserve">3.2 Component Architecture</w:t>
      </w:r>
    </w:p>
    <w:p>
      <w:pPr>
        <w:spacing w:after="200" w:line="276"/>
      </w:pPr>
      <w:r>
        <w:t xml:space="preserve">The frontend was implemented using React with TypeScript and bundled with Vite. Each authentication step corresponds to an individual route and component, managed by React Router:</w:t>
      </w:r>
    </w:p>
    <w:p>
      <w:pPr>
        <w:spacing w:after="200" w:line="276"/>
      </w:pPr>
      <w:r>
        <w:rPr>
          <w:b/>
          <w:bCs/>
        </w:rPr>
        <w:t xml:space="preserve">SignIn Component (/sign-in). </w:t>
      </w:r>
      <w:r>
        <w:t xml:space="preserve">Replicates the Microsoft-branded email entry page with the Microsoft logo, email input field, validation logic, and navigational links ("No account? Create one!", "Can’t access your account?"). Email validation triggers immediate error feedback, matching Microsoft’s UX pattern.</w:t>
      </w:r>
    </w:p>
    <w:p>
      <w:pPr>
        <w:spacing w:after="200" w:line="276"/>
      </w:pPr>
      <w:r>
        <w:rPr>
          <w:b/>
          <w:bCs/>
        </w:rPr>
        <w:t xml:space="preserve">EnterPassword Component (/password). </w:t>
      </w:r>
      <w:r>
        <w:t xml:space="preserve">Switches to CSULB branding (campus logo, background image from Microsoft’s tenant CDN). Displays the victim’s email with a back arrow, a password input field, and a "Forgot my password" link. Critically, the first submission always returns a fake error—"Your account or password is incorrect. If you don’t remember your password, reset it now."—before accepting on the second attempt and forwarding to the MFA stage.</w:t>
      </w:r>
    </w:p>
    <w:p>
      <w:pPr>
        <w:spacing w:after="200" w:line="276"/>
      </w:pPr>
      <w:r>
        <w:rPr>
          <w:b/>
          <w:bCs/>
        </w:rPr>
        <w:t xml:space="preserve">VerifyMfa Component (/verify). </w:t>
      </w:r>
      <w:r>
        <w:t xml:space="preserve">Presents two MFA options: "Text +X XXXXXXXX[last2]" and "Call +X XXXXXXXX[last2]." The masked phone number is dynamically retrieved from the backend by looking up the victim’s email against the Google Sheet data, ensuring the displayed number matches the victim’s actual phone. This detail is critical for believability.</w:t>
      </w:r>
    </w:p>
    <w:p>
      <w:pPr>
        <w:spacing w:after="200" w:line="276"/>
      </w:pPr>
      <w:r>
        <w:rPr>
          <w:b/>
          <w:bCs/>
        </w:rPr>
        <w:t xml:space="preserve">EnterCode Component (/enter-code). </w:t>
      </w:r>
      <w:r>
        <w:t xml:space="preserve">A numeric code input page that accepts the six-digit verification code. Upon submission, the code is sent to the backend for capture, and the victim is redirected to the real CSULB SSO.</w:t>
      </w:r>
    </w:p>
    <w:p>
      <w:pPr>
        <w:pStyle w:val="Heading2"/>
      </w:pPr>
      <w:r>
        <w:t xml:space="preserve">3.3 Visual Fidelity and Shared Layout</w:t>
      </w:r>
    </w:p>
    <w:p>
      <w:pPr>
        <w:spacing w:after="200" w:line="276"/>
      </w:pPr>
      <w:r>
        <w:t xml:space="preserve">A shared SsoLayout module provides consistent styling across all CSULB-branded pages. This module injects global CSS including the Segoe UI web font (loaded from cdnfonts.com, matching Microsoft’s typography), keyframe animations (ssoFadeIn at 0.3s ease-in, ssoSlideIn at 0.5s ease-in with translateX), and hover states for MFA option rows (rgba(0,0,0,0.1) background with a 1px dashed black outline). The SsoCard component enforces a 440px-wide white card with the exact box-shadow (0 2px 6px rgba(0,0,0,0.2)) used by Microsoft’s real SSO. The CsulbPage wrapper applies the campus background image, while MsPage provides the Microsoft gradient background for the initial sign-in step.</w:t>
      </w:r>
    </w:p>
    <w:p>
      <w:r>
        <w:br w:type="page"/>
      </w:r>
    </w:p>
    <w:p>
      <w:pPr>
        <w:pStyle w:val="Heading1"/>
      </w:pPr>
      <w:r>
        <w:t xml:space="preserve">4. Backend and SMS Integration</w:t>
      </w:r>
    </w:p>
    <w:p>
      <w:pPr>
        <w:pStyle w:val="Heading2"/>
      </w:pPr>
      <w:r>
        <w:t xml:space="preserve">4.1 Server Architecture</w:t>
      </w:r>
    </w:p>
    <w:p>
      <w:pPr>
        <w:spacing w:after="200" w:line="276"/>
      </w:pPr>
      <w:r>
        <w:t xml:space="preserve">The backend is a Node.js application built with Express.js, responsible for five core functions: Google Sheet polling, victim data management, Twilio SMS and voice call delivery, credential and MFA code storage, and analytics tracking for the attacker dashboard. The server runs on port 3001 and exposes a REST API consumed by both the phishing frontend and the attacker dashboard.</w:t>
      </w:r>
    </w:p>
    <w:p>
      <w:pPr>
        <w:spacing w:after="200" w:line="276"/>
      </w:pPr>
      <w:r>
        <w:t xml:space="preserve">Data persistence uses a simple JSON file (captured_data.json) rather than a database, reflecting the disposable nature of real phishing infrastructure. The file stores all captured credentials, MFA codes, timestamps, user-agent strings, and analytics counters. Active MFA codes are held in memory with a five-minute expiration window.</w:t>
      </w:r>
    </w:p>
    <w:p>
      <w:pPr>
        <w:pStyle w:val="Heading2"/>
      </w:pPr>
      <w:r>
        <w:t xml:space="preserve">4.2 Google Sheets Integration</w:t>
      </w:r>
    </w:p>
    <w:p>
      <w:pPr>
        <w:spacing w:after="200" w:line="276"/>
      </w:pPr>
      <w:r>
        <w:t xml:space="preserve">The Google Sheet containing victim data is accessed via a CSV export URL that requires no API key or OAuth flow—only that the sheet is published to the web. On server startup and upon manual refresh, the backend fetches the CSV, parses it (handling quoted fields and edge cases), and normalizes phone numbers to E.164 format (+1XXXXXXXXXX). This approach was chosen deliberately to demonstrate that attackers need minimal infrastructure: a free Google Form, a public spreadsheet, and a simple HTTP GET request are sufficient for victim data ingestion.</w:t>
      </w:r>
    </w:p>
    <w:p>
      <w:pPr>
        <w:spacing w:after="200" w:line="276"/>
      </w:pPr>
      <w:r>
        <w:t xml:space="preserve">A key challenge was phone number normalization. Form respondents entered phone numbers in various formats: with or without country codes, with dashes or parentheses, as 10-digit or 11-digit strings. The backend strips all non-numeric characters and applies heuristics to prepend the +1 country code when necessary, ensuring compatibility with Twilio’s E.164 requirement.</w:t>
      </w:r>
    </w:p>
    <w:p>
      <w:pPr>
        <w:pStyle w:val="Heading2"/>
      </w:pPr>
      <w:r>
        <w:t xml:space="preserve">4.3 Twilio SMS and Voice Integration</w:t>
      </w:r>
    </w:p>
    <w:p>
      <w:pPr>
        <w:spacing w:after="200" w:line="276"/>
      </w:pPr>
      <w:r>
        <w:t xml:space="preserve">The Twilio integration serves two distinct functions. First, the SMS blast capability sends phishing messages to all victims in the Google Sheet. These messages are crafted to impersonate CSULB administrative notifications with urgent language about registration holds and enrollment deadlines, directing victims to the phishing URL. A 500ms delay between messages prevents Twilio rate limiting.</w:t>
      </w:r>
    </w:p>
    <w:p>
      <w:pPr>
        <w:spacing w:after="200" w:line="276"/>
      </w:pPr>
      <w:r>
        <w:t xml:space="preserve">Second, Twilio delivers real MFA codes to victims during the authentication flow. When a victim selects "Text" or "Call" on the MFA verification page, the backend generates a six-digit code, stores it with a five-minute TTL, and dispatches it via Twilio’s Messages or Calls API. For voice calls, the code is delivered using Twilio’s TwiML markup with the "alice" voice, speaking each digit individually for clarity. This creates a highly convincing MFA experience—the victim receives a real code on their real phone, enters it on the phishing page, and the attacker captures it in real time.</w:t>
      </w:r>
    </w:p>
    <w:p>
      <w:pPr>
        <w:spacing w:after="200" w:line="276"/>
      </w:pPr>
      <w:r>
        <w:t xml:space="preserve">Configuring Twilio presented several challenges. Trial accounts impose restrictions on which phone numbers can receive messages (only verified numbers), which initially caused delivery failures during testing. Additionally, SMS content filtering occasionally flagged our phishing messages as spam, requiring adjustments to message wording. The phone number used for sending also needed to be a Twilio-provisioned number with SMS and voice capabilities enabled.</w:t>
      </w:r>
    </w:p>
    <w:p>
      <w:pPr>
        <w:pStyle w:val="Heading2"/>
      </w:pPr>
      <w:r>
        <w:t xml:space="preserve">4.4 Email-to-Phone Lookup</w:t>
      </w:r>
    </w:p>
    <w:p>
      <w:pPr>
        <w:spacing w:after="200" w:line="276"/>
      </w:pPr>
      <w:r>
        <w:t xml:space="preserve">A critical feature for attack believability is the /api/lookup endpoint. When the frontend loads the MFA verification page, it sends the victim’s email to this endpoint, which searches the Google Sheet data for a matching record and returns the victim’s masked phone number (e.g., "+X XXXXXXXX53"). This ensures the MFA page displays the victim’s actual phone number’s last two digits, exactly as Microsoft’s real SSO would. Without this feature, a static masked number would immediately appear suspicious to any victim who recognizes their own phone number pattern.</w:t>
      </w:r>
    </w:p>
    <w:p>
      <w:pPr>
        <w:pStyle w:val="Heading2"/>
      </w:pPr>
      <w:r>
        <w:t xml:space="preserve">4.5 Attacker Dashboard</w:t>
      </w:r>
    </w:p>
    <w:p>
      <w:pPr>
        <w:spacing w:after="200" w:line="276"/>
      </w:pPr>
      <w:r>
        <w:t xml:space="preserve">The attacker dashboard is a dark-themed React component accessible at /dashboard. It provides real-time visibility into the attack’s progress through several panels: an SMS blast control panel showing loaded victims from the Google Sheet with send and reload controls; statistical cards displaying SMS sent count, credentials captured, MFA codes intercepted, and overall success rate; an attack funnel visualization showing conversion rates between stages (SMS sent → link visited → password entered → MFA completed → redirect); and a credential table displaying captured emails, passwords (with show/hide toggle), MFA codes, and timestamps. The dashboard auto-refreshes every five seconds via polling.</w:t>
      </w:r>
    </w:p>
    <w:p>
      <w:r>
        <w:br w:type="page"/>
      </w:r>
    </w:p>
    <w:p>
      <w:pPr>
        <w:pStyle w:val="Heading1"/>
      </w:pPr>
      <w:r>
        <w:t xml:space="preserve">5. Domain Strategy and Infrastructure Considerations</w:t>
      </w:r>
    </w:p>
    <w:p>
      <w:pPr>
        <w:spacing w:after="200" w:line="276"/>
      </w:pPr>
      <w:r>
        <w:t xml:space="preserve">While our demonstration ran on localhost, a real-world deployment of this attack would require a convincing domain name—one of the most critical elements in determining whether a phishing campaign succeeds. Domain selection is an exercise in exploiting human cognitive biases: users glance at URLs rather than carefully parsing them, and familiar-looking strings provide false assurance.</w:t>
      </w:r>
    </w:p>
    <w:p>
      <w:pPr>
        <w:spacing w:after="200" w:line="276"/>
      </w:pPr>
      <w:r>
        <w:t xml:space="preserve">Several categories of domain manipulation are commonly employed by attackers. Typosquatting involves registering misspellings of legitimate domains, such as "csulb.edu" becoming "csu1b.edu" (replacing the letter L with the digit 1) or "cssulb.edu" (double S). Subdomain abuse uses a legitimate-looking string as a subdomain of an attacker-controlled domain, such as "sso.csulb.edu.login-verify.com" or "csulb-sso.auth-secure.net." Homograph attacks exploit Unicode characters that visually resemble ASCII letters, such as using a Cyrillic ‘a’ in place of a Latin ‘a.’ TLD variations register the target name under alternative top-level domains: "csulb-sso.com," "csulb-portal.org," or "csulb.education." Finally, keyword stuffing embeds the target’s name within a longer, plausible-sounding domain: "csulb-account-services.com" or "my-csulb-verify.com."</w:t>
      </w:r>
    </w:p>
    <w:p>
      <w:pPr>
        <w:spacing w:after="200" w:line="276"/>
      </w:pPr>
      <w:r>
        <w:t xml:space="preserve">The cost of registering such domains is negligible—typically under ten dollars per year—and combined with free TLS certificates from Let’s Encrypt, an attacker can present a fully HTTPS-secured phishing site within minutes. This underscores a fundamental asymmetry in phishing defense: the attacker’s infrastructure cost is near zero, while the defender must educate thousands of users to inspect URLs carefully, configure email and SMS filtering, and deploy phishing-resistant authentication mechanisms.</w:t>
      </w:r>
    </w:p>
    <w:p>
      <w:pPr>
        <w:pStyle w:val="Heading1"/>
      </w:pPr>
      <w:r>
        <w:t xml:space="preserve">6. Challenges and Lessons Learned</w:t>
      </w:r>
    </w:p>
    <w:p>
      <w:pPr>
        <w:pStyle w:val="Heading2"/>
      </w:pPr>
      <w:r>
        <w:t xml:space="preserve">6.1 SSO URL Discovery</w:t>
      </w:r>
    </w:p>
    <w:p>
      <w:pPr>
        <w:spacing w:after="200" w:line="276"/>
      </w:pPr>
      <w:r>
        <w:t xml:space="preserve">Identifying the correct SSO endpoint for CSULB proved more complex than anticipated. Initial attempts to navigate directly to ssignon.csulb.edu were unsuccessful, and constructing a direct URL to login.microsoftonline.com with an estimated Azure AD tenant ID returned "tenant not found" errors. The working approach required using Microsoft’s web host redirect (whr) parameter to trigger CSULB’s federated authentication flow, which revealed the correct branding, background images, and logo assets served by Microsoft’s tenant configuration CDN. This experience illustrates that even basic reconnaissance—identifying an organization’s exact authentication flow—requires iterative probing.</w:t>
      </w:r>
    </w:p>
    <w:p>
      <w:pPr>
        <w:pStyle w:val="Heading2"/>
      </w:pPr>
      <w:r>
        <w:t xml:space="preserve">6.2 Visual Fidelity Iteration</w:t>
      </w:r>
    </w:p>
    <w:p>
      <w:pPr>
        <w:spacing w:after="200" w:line="276"/>
      </w:pPr>
      <w:r>
        <w:t xml:space="preserve">The first several iterations of the phishing pages were visually distinguishable from the real SSO. Side-by-side screenshot comparisons revealed mismatches in font family (system defaults vs. Segoe UI), missing box-shadow on the login card, absent fade-in and slide-in animations, and incorrect layout on the MFA verification page—particularly the full-width option rows with hover states, which initially used a standard card-based layout that looked nothing like Microsoft’s design. Each issue required extracting the precise CSS value from the production SSO using browser developer tools and replicating it exactly.</w:t>
      </w:r>
    </w:p>
    <w:p>
      <w:pPr>
        <w:spacing w:after="200" w:line="276"/>
      </w:pPr>
      <w:r>
        <w:t xml:space="preserve">An additional challenge involved sourcing SVG icons for the SMS and phone call MFA options. Attempts to download the original Microsoft icons from their CDN failed—one returned a BlobNotFound error and another was served in an incompressible binary format. The solution was to hand-craft inline SVG icons based on visual reference from screenshots of the real SSO, achieving a close approximation that would not raise suspicion. This iterative refinement process demonstrated that pixel-perfect UI cloning—while achievable—demands careful attention to typographic, spatial, and temporal (animation) details, and that even small deviations can serve as red flags for attentive users.</w:t>
      </w:r>
    </w:p>
    <w:p>
      <w:pPr>
        <w:pStyle w:val="Heading2"/>
      </w:pPr>
      <w:r>
        <w:t xml:space="preserve">6.3 Development Environment Issues</w:t>
      </w:r>
    </w:p>
    <w:p>
      <w:pPr>
        <w:spacing w:after="200" w:line="276"/>
      </w:pPr>
      <w:r>
        <w:t xml:space="preserve">The development workflow encountered filesystem permission errors when running npm install on the mounted project directory, preventing normal dependency management. This was resolved by copying the project to an isolated build directory for compilation and testing. Additionally, SVG icon acquisition failed due to Microsoft’s CDN returning binary or unavailable assets, necessitating manual SVG recreation from visual reference. These obstacles, while mundane, reflect the kind of environmental friction that real attackers also encounter when assembling phishing infrastructure.</w:t>
      </w:r>
    </w:p>
    <w:p>
      <w:pPr>
        <w:pStyle w:val="Heading2"/>
      </w:pPr>
      <w:r>
        <w:t xml:space="preserve">6.4 Twilio Configuration</w:t>
      </w:r>
    </w:p>
    <w:p>
      <w:pPr>
        <w:spacing w:after="200" w:line="276"/>
      </w:pPr>
      <w:r>
        <w:t xml:space="preserve">Twilio trial account limitations initially prevented SMS delivery to unverified numbers. Content filtering also flagged some message variants as potential spam, requiring message text adjustments. Phone number format inconsistencies from Google Form responses required implementing normalization logic to convert all numbers to E.164 format. These challenges highlight that while commodity APIs make phishing infrastructure accessible, operational details still require troubleshooting.</w:t>
      </w:r>
    </w:p>
    <w:p>
      <w:r>
        <w:br w:type="page"/>
      </w:r>
    </w:p>
    <w:p>
      <w:pPr>
        <w:pStyle w:val="Heading1"/>
      </w:pPr>
      <w:r>
        <w:t xml:space="preserve">7. Defensive Countermeasures</w:t>
      </w:r>
    </w:p>
    <w:p>
      <w:pPr>
        <w:spacing w:after="200" w:line="276"/>
      </w:pPr>
      <w:r>
        <w:t xml:space="preserve">Building this phishing simulation from the attacker’s perspective revealed specific weaknesses that defenders can exploit to neutralize each stage of the kill chain.</w:t>
      </w:r>
    </w:p>
    <w:p>
      <w:pPr>
        <w:spacing w:after="200" w:line="276"/>
      </w:pPr>
      <w:r>
        <w:rPr>
          <w:b/>
          <w:bCs/>
        </w:rPr>
        <w:t xml:space="preserve">FIDO2/WebAuthn and Phishing-Resistant MFA. </w:t>
      </w:r>
      <w:r>
        <w:t xml:space="preserve">The most effective countermeasure is hardware-bound, origin-verified authentication. FIDO2 security keys and platform authenticators (Windows Hello, Apple Touch ID) cryptographically bind the authentication challenge to the legitimate domain. Our phishing site, regardless of visual fidelity, operates on a different origin—the browser would refuse to complete the WebAuthn ceremony, and there is no code for the victim to relay. This single control renders the entire MFA interception stage of our attack inoperable.</w:t>
      </w:r>
    </w:p>
    <w:p>
      <w:pPr>
        <w:spacing w:after="200" w:line="276"/>
      </w:pPr>
      <w:r>
        <w:rPr>
          <w:b/>
          <w:bCs/>
        </w:rPr>
        <w:t xml:space="preserve">URL Inspection and Browser Indicators. </w:t>
      </w:r>
      <w:r>
        <w:t xml:space="preserve">Our attack relies on victims not inspecting the URL bar. Browser-based defenses such as Google Safe Browsing, Microsoft SmartScreen, and organizational web proxies can flag or block known phishing domains. However, newly registered domains often evade these filters for hours or days. User education on URL verification remains important but insufficient as a standalone control.</w:t>
      </w:r>
    </w:p>
    <w:p>
      <w:pPr>
        <w:spacing w:after="200" w:line="276"/>
      </w:pPr>
      <w:r>
        <w:rPr>
          <w:b/>
          <w:bCs/>
        </w:rPr>
        <w:t xml:space="preserve">SMS Sender Verification and Filtering. </w:t>
      </w:r>
      <w:r>
        <w:t xml:space="preserve">Carrier-level SMS filtering (e.g., T-Mobile Scam Shield, AT&amp;T ActiveArmor) can flag messages from unrecognized numbers. Organizations can also implement branded sender IDs or use authenticated messaging channels (e.g., RCS Business Messaging) to help users distinguish legitimate communications from spoofed ones.</w:t>
      </w:r>
    </w:p>
    <w:p>
      <w:pPr>
        <w:spacing w:after="200" w:line="276"/>
      </w:pPr>
      <w:r>
        <w:rPr>
          <w:b/>
          <w:bCs/>
        </w:rPr>
        <w:t xml:space="preserve">Conditional Access and Impossible Travel Policies. </w:t>
      </w:r>
      <w:r>
        <w:t xml:space="preserve">Microsoft Entra ID supports conditional access policies that can detect anomalous sign-in patterns—such as a login from a new device or impossible geographic travel—and require additional verification or block access entirely. These policies would flag our relay-based attack since the backend server’s authentication attempt would originate from a different IP than the victim’s.</w:t>
      </w:r>
    </w:p>
    <w:p>
      <w:pPr>
        <w:spacing w:after="200" w:line="276"/>
      </w:pPr>
      <w:r>
        <w:rPr>
          <w:b/>
          <w:bCs/>
        </w:rPr>
        <w:t xml:space="preserve">Security Awareness Training. </w:t>
      </w:r>
      <w:r>
        <w:t xml:space="preserve">Regular phishing simulations and training programs help users recognize social engineering tactics. Our SMS messages exploited urgency ("registration hold," "classes being dropped") and authority ("CSULB Reminder")—common psychological levers that training can help users identify and resist.</w:t>
      </w:r>
    </w:p>
    <w:p>
      <w:pPr>
        <w:pStyle w:val="Heading1"/>
      </w:pPr>
      <w:r>
        <w:t xml:space="preserve">8. Team Contributions</w:t>
      </w:r>
    </w:p>
    <w:p>
      <w:pPr>
        <w:spacing w:after="200" w:line="276"/>
      </w:pPr>
      <w:r>
        <w:t xml:space="preserve">This project was a collaborative effort among three team members, each responsible for distinct components of the attack simulation:</w:t>
      </w:r>
    </w:p>
    <w:p>
      <w:pPr>
        <w:spacing w:after="200" w:line="276"/>
      </w:pPr>
      <w:r>
        <w:rPr>
          <w:b/>
          <w:bCs/>
        </w:rPr>
        <w:t xml:space="preserve">Douglas — Project Manager. </w:t>
      </w:r>
      <w:r>
        <w:t xml:space="preserve">Douglas assumed the role of project manager and was responsible for overall project coordination, timeline management, and deliverable tracking. He established the project scope and attack flow early in the semester, created and maintained the project schedule to ensure milestones were met before the April 20 deadline, coordinated communication between team members and ensured frontend and backend integration points were well-defined, managed the Google Form design and deployment for victim data collection, prepared the presentation materials and coordinated the demo scheduling with Professor Uuh, and performed quality assurance testing across the full attack chain to verify end-to-end functionality.</w:t>
      </w:r>
    </w:p>
    <w:p>
      <w:pPr>
        <w:spacing w:after="200" w:line="276"/>
      </w:pPr>
      <w:r>
        <w:rPr>
          <w:b/>
          <w:bCs/>
        </w:rPr>
        <w:t xml:space="preserve">Owen — Frontend Development. </w:t>
      </w:r>
      <w:r>
        <w:t xml:space="preserve">Owen was responsible for all frontend design and implementation. He created high-fidelity mockups in Figma by studying the real CSULB SSO pages, implemented all React/TypeScript components (SignIn, EnterPassword, VerifyMfa, EnterCode, Dashboard) with exact CSS matching, built the shared SsoLayout component with web font loading, animations, and consistent card styling, developed the attacker dashboard UI with real-time analytics visualization, and iterated through multiple rounds of visual refinement based on side-by-side screenshot comparisons against the production SSO.</w:t>
      </w:r>
    </w:p>
    <w:p>
      <w:pPr>
        <w:spacing w:after="200" w:line="276"/>
      </w:pPr>
      <w:r>
        <w:rPr>
          <w:b/>
          <w:bCs/>
        </w:rPr>
        <w:t xml:space="preserve">Soroush Mirzaee — Backend &amp; SMS Integration. </w:t>
      </w:r>
      <w:r>
        <w:t xml:space="preserve">Soroush was responsible for the entire backend system and external service integrations. He built the Express.js server with all API endpoints for credential capture, MFA relay, and analytics, implemented the Google Sheets CSV integration for automated victim data ingestion without API keys, developed the Twilio SMS and voice call integration for both phishing blasts and real-time MFA code delivery, created the email-to-phone lookup system enabling dynamic masked phone numbers on MFA pages, designed the phone number normalization pipeline to handle inconsistent form input formats, and resolved environment configuration challenges including Twilio trial account restrictions and content filtering.</w:t>
      </w:r>
    </w:p>
    <w:p>
      <w:r>
        <w:br w:type="page"/>
      </w:r>
    </w:p>
    <w:p>
      <w:pPr>
        <w:pStyle w:val="Heading1"/>
      </w:pPr>
      <w:r>
        <w:t xml:space="preserve">9. Conclusion</w:t>
      </w:r>
    </w:p>
    <w:p>
      <w:pPr>
        <w:spacing w:after="200" w:line="276"/>
      </w:pPr>
      <w:r>
        <w:t xml:space="preserve">This project demonstrates that a complete, end-to-end phishing attack—from victim reconnaissance through credential and MFA interception to seamless redirect—can be assembled using free and low-cost commodity tools: a Google Form for data collection, a Google Sheet for victim management, Twilio for SMS delivery, React for UI cloning, and Node.js for backend orchestration. The total infrastructure cost, excluding labor, is effectively zero for the reconnaissance and credential harvesting stages, and under twenty dollars per month for SMS delivery via Twilio.</w:t>
      </w:r>
    </w:p>
    <w:p>
      <w:pPr>
        <w:spacing w:after="200" w:line="276"/>
      </w:pPr>
      <w:r>
        <w:t xml:space="preserve">The implications for defenders are significant. SMS-based MFA, while better than no MFA, provides minimal protection against a determined adversary using AiTM techniques. The phishing pages we produced are visually indistinguishable from the legitimate CSULB SSO to all but the most vigilant users, and the SMS messages employ psychological manipulation techniques that are well-documented in social engineering literature. The only robust countermeasure identified is phishing-resistant authentication: FIDO2/WebAuthn hardware keys or platform authenticators that cryptographically verify the authentication origin, making credential relay fundamentally impossible regardless of the attacker’s UI fidelity.</w:t>
      </w:r>
    </w:p>
    <w:p>
      <w:pPr>
        <w:spacing w:after="200" w:line="276"/>
      </w:pPr>
      <w:r>
        <w:t xml:space="preserve">We recommend that CSULB and similar institutions prioritize the deployment of FIDO2-based authentication, implement conditional access policies to detect anomalous sign-in patterns, and continue investing in security awareness training that specifically addresses smishing and AiTM phishing techniques. The gap between attacker capability and defender readiness is narrower than it appears—but only if organizations adopt phishing-resistant controls rather than relying on user vigilance alone.</w:t>
      </w:r>
    </w:p>
    <w:p>
      <w:pPr>
        <w:pStyle w:val="Heading1"/>
      </w:pPr>
      <w:r>
        <w:t xml:space="preserve">10. References</w:t>
      </w:r>
    </w:p>
    <w:p>
      <w:pPr>
        <w:spacing w:after="200" w:line="276"/>
      </w:pPr>
      <w:r>
        <w:rPr>
          <w:i w:val="false"/>
          <w:iCs w:val="false"/>
        </w:rPr>
        <w:t xml:space="preserve">Verizon. (2024). </w:t>
      </w:r>
      <w:r>
        <w:rPr>
          <w:i/>
          <w:iCs/>
        </w:rPr>
        <w:t xml:space="preserve">2024 Data Breach Investigations Report.</w:t>
      </w:r>
      <w:r>
        <w:t xml:space="preserve"> Verizon Enterprise Solutions. https://www.verizon.com/business/resources/reports/dbir/</w:t>
      </w:r>
    </w:p>
    <w:p>
      <w:pPr>
        <w:spacing w:after="200" w:line="276"/>
      </w:pPr>
      <w:r>
        <w:rPr>
          <w:i w:val="false"/>
          <w:iCs w:val="false"/>
        </w:rPr>
        <w:t xml:space="preserve">Microsoft. (2023). </w:t>
      </w:r>
      <w:r>
        <w:rPr>
          <w:i/>
          <w:iCs/>
        </w:rPr>
        <w:t xml:space="preserve">Token theft playbook: Adversary-in-the-middle phishing.</w:t>
      </w:r>
      <w:r>
        <w:t xml:space="preserve"> Microsoft Security Blog. https://www.microsoft.com/en-us/security/blog/</w:t>
      </w:r>
    </w:p>
    <w:p>
      <w:pPr>
        <w:spacing w:after="200" w:line="276"/>
      </w:pPr>
      <w:r>
        <w:rPr>
          <w:i w:val="false"/>
          <w:iCs w:val="false"/>
        </w:rPr>
        <w:t xml:space="preserve">FIDO Alliance. (2024). </w:t>
      </w:r>
      <w:r>
        <w:rPr>
          <w:i/>
          <w:iCs/>
        </w:rPr>
        <w:t xml:space="preserve">FIDO2: Web Authentication (WebAuthn).</w:t>
      </w:r>
      <w:r>
        <w:t xml:space="preserve"> https://fidoalliance.org/fido2/</w:t>
      </w:r>
    </w:p>
    <w:p>
      <w:pPr>
        <w:spacing w:after="200" w:line="276"/>
      </w:pPr>
      <w:r>
        <w:rPr>
          <w:i w:val="false"/>
          <w:iCs w:val="false"/>
        </w:rPr>
        <w:t xml:space="preserve">Twilio. (2024). </w:t>
      </w:r>
      <w:r>
        <w:rPr>
          <w:i/>
          <w:iCs/>
        </w:rPr>
        <w:t xml:space="preserve">Programmable Messaging API Documentation.</w:t>
      </w:r>
      <w:r>
        <w:t xml:space="preserve"> https://www.twilio.com/docs/messaging</w:t>
      </w:r>
    </w:p>
    <w:p>
      <w:pPr>
        <w:spacing w:after="200" w:line="276"/>
      </w:pPr>
      <w:r>
        <w:rPr>
          <w:i w:val="false"/>
          <w:iCs w:val="false"/>
        </w:rPr>
        <w:t xml:space="preserve">NIST. (2024). </w:t>
      </w:r>
      <w:r>
        <w:rPr>
          <w:i/>
          <w:iCs/>
        </w:rPr>
        <w:t xml:space="preserve">SP 800-63B: Digital Identity Guidelines — Authentication and Lifecycle Management.</w:t>
      </w:r>
      <w:r>
        <w:t xml:space="preserve"> National Institute of Standards and Technology. https://pages.nist.gov/800-63-4/</w:t>
      </w:r>
    </w:p>
    <w:p>
      <w:pPr>
        <w:spacing w:after="200" w:line="276"/>
      </w:pPr>
      <w:r>
        <w:rPr>
          <w:i w:val="false"/>
          <w:iCs w:val="false"/>
        </w:rPr>
        <w:t xml:space="preserve">Google. (2024). </w:t>
      </w:r>
      <w:r>
        <w:rPr>
          <w:i/>
          <w:iCs/>
        </w:rPr>
        <w:t xml:space="preserve">Google Sheets API: Exporting Spreadsheet Data.</w:t>
      </w:r>
      <w:r>
        <w:t xml:space="preserve"> Google Developers. https://developers.google.com/sheets</w:t>
      </w:r>
    </w:p>
    <w:p>
      <w:pPr>
        <w:spacing w:after="200" w:line="276"/>
      </w:pPr>
      <w:r>
        <w:rPr>
          <w:i w:val="false"/>
          <w:iCs w:val="false"/>
        </w:rPr>
        <w:t xml:space="preserve">CISA. (2024). </w:t>
      </w:r>
      <w:r>
        <w:rPr>
          <w:i/>
          <w:iCs/>
        </w:rPr>
        <w:t xml:space="preserve">Phishing Guidance: Stopping the Attack Cycle at Phase One.</w:t>
      </w:r>
      <w:r>
        <w:t xml:space="preserve"> Cybersecurity and Infrastructure Security Agency. https://www.cisa.gov/phishing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CECS 378 — Phishing Simulation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2026-04-20T23:44:24.238Z</dcterms:created>
  <dcterms:modified xsi:type="dcterms:W3CDTF">2026-04-20T23:44:24.238Z</dcterms:modified>
</cp:coreProperties>
</file>

<file path=docProps/custom.xml><?xml version="1.0" encoding="utf-8"?>
<Properties xmlns="http://schemas.openxmlformats.org/officeDocument/2006/custom-properties" xmlns:vt="http://schemas.openxmlformats.org/officeDocument/2006/docPropsVTypes"/>
</file>