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de Trabalho - Programa Equilibra (CJF)</w:t>
      </w:r>
    </w:p>
    <w:p>
      <w:r>
        <w:rPr>
          <w:b/>
        </w:rPr>
        <w:t xml:space="preserve">Unidade: </w:t>
      </w:r>
      <w:r>
        <w:t>3ª Relatoria da 2ª Turma Recursal - SJRJ</w:t>
        <w:br/>
      </w:r>
      <w:r>
        <w:rPr>
          <w:b/>
        </w:rPr>
        <w:t xml:space="preserve">Gestor: </w:t>
      </w:r>
      <w:r>
        <w:t>Dr. Rafael Assis Alves (em exercício de titularidade)</w:t>
        <w:br/>
      </w:r>
      <w:r>
        <w:rPr>
          <w:b/>
        </w:rPr>
        <w:t xml:space="preserve">Data: </w:t>
      </w:r>
      <w:r>
        <w:t>Janeiro/2026</w:t>
      </w:r>
    </w:p>
    <w:p>
      <w:pPr>
        <w:spacing w:after="2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0F0F0"/>
          </w:tcPr>
          <w:p>
            <w:r>
              <w:rPr>
                <w:b/>
              </w:rPr>
              <w:t xml:space="preserve">Documento Requisitório: </w:t>
            </w:r>
            <w:r>
              <w:t>Ofício TRF2 1452551, de 19/12/2025</w:t>
              <w:br/>
            </w:r>
            <w:r>
              <w:rPr>
                <w:b/>
              </w:rPr>
              <w:t xml:space="preserve">Solicitantes: </w:t>
            </w:r>
            <w:r>
              <w:t>Des. Roy Reis Friede (Coordenador JEF) e Des. Wanderley Sanan (Vice)</w:t>
              <w:br/>
            </w:r>
            <w:r>
              <w:rPr>
                <w:b/>
              </w:rPr>
              <w:t xml:space="preserve">Prazo de Entrega: </w:t>
            </w:r>
            <w:r>
              <w:rPr>
                <w:b/>
              </w:rPr>
              <w:t>13/01/2026</w:t>
            </w:r>
            <w:r>
              <w:br/>
            </w:r>
            <w:r>
              <w:rPr>
                <w:b/>
              </w:rPr>
              <w:t xml:space="preserve">Objetivo: </w:t>
            </w:r>
            <w:r>
              <w:t>Demonstrar a trajetória de recuperação da unidade, os resultados alcançados e as perspectivas para 2026.</w:t>
            </w:r>
          </w:p>
        </w:tc>
      </w:tr>
    </w:tbl>
    <w:p/>
    <w:p>
      <w:pPr>
        <w:pStyle w:val="Heading1"/>
      </w:pPr>
      <w:r>
        <w:t>1. Diagnóstico Situacional: Fatores Determinantes do Passivo (2024)</w:t>
      </w:r>
    </w:p>
    <w:p>
      <w:r>
        <w:t xml:space="preserve">A oscilação de produtividade verificada no exercício de 2024 não decorreu de incremento de distribuição ou ineficiência estrutural, mas de um </w:t>
      </w:r>
      <w:r>
        <w:rPr>
          <w:b/>
        </w:rPr>
        <w:t>evento crítico de descontinuidade administrativa e redução da força de trabalho</w:t>
      </w:r>
      <w:r>
        <w:t>.</w:t>
      </w:r>
    </w:p>
    <w:p>
      <w:pPr>
        <w:pStyle w:val="Heading2"/>
      </w:pPr>
      <w:r>
        <w:t>1.1. Descontinuidade na Gestão e Liderança</w:t>
      </w:r>
    </w:p>
    <w:p>
      <w:r>
        <w:t>Documentos oficiais (Ofícios JFRJ 2023/04656 e 2023/05644) evidenciam um cenário de vacância simultânea na gestão da unidade:</w:t>
      </w:r>
    </w:p>
    <w:p>
      <w:pPr>
        <w:pStyle w:val="ListNumber"/>
      </w:pPr>
      <w:r>
        <w:rPr>
          <w:b/>
        </w:rPr>
        <w:t>Aposentadoria do Magistrado Titular</w:t>
      </w:r>
      <w:r>
        <w:t xml:space="preserve"> (Dr. Paulo Alberto Jorge, em fev/2024).</w:t>
      </w:r>
    </w:p>
    <w:p>
      <w:pPr>
        <w:pStyle w:val="ListNumber"/>
      </w:pPr>
      <w:r>
        <w:rPr>
          <w:b/>
        </w:rPr>
        <w:t>Remoção da Chefia de Gabinete</w:t>
      </w:r>
      <w:r>
        <w:t xml:space="preserve"> (Anna Beatriz, 13 anos de experiência na unidade), transferida para a Secretaria Única em jan/2024.</w:t>
      </w:r>
    </w:p>
    <w:p>
      <w:pPr>
        <w:pStyle w:val="ListNumber"/>
      </w:pPr>
      <w:r>
        <w:rPr>
          <w:b/>
        </w:rPr>
        <w:t>Evasão de Capital Intelectual</w:t>
      </w:r>
      <w:r>
        <w:t>: Ocorre a saída de servidores experientes para outras unidades, gerando perda de memória técnica:</w:t>
        <w:br/>
        <w:t xml:space="preserve">    • Analista Bruno Vivas (3 anos de lotação) removido para o Gab-01.</w:t>
        <w:br/>
        <w:t xml:space="preserve">    • Técnica Carina Pacheco (11 anos de lotação) removida para o Gab-02.</w:t>
      </w:r>
    </w:p>
    <w:p>
      <w:pPr>
        <w:pStyle w:val="ListNumber"/>
      </w:pPr>
      <w:r>
        <w:rPr>
          <w:b/>
        </w:rPr>
        <w:t>Regime de Acumulação</w:t>
      </w:r>
      <w:r>
        <w:t>: No período crítico, a unidade foi presidida por magistrada designada em regime de acumulação de acervo ("sem prejuízo da origem"), o que inviabilizou a gestão exclusiva necessária para o momento de crise (Vide Ato TRF2-ATC-2024/00040).</w:t>
      </w:r>
    </w:p>
    <w:p>
      <w:pPr>
        <w:pStyle w:val="ListNumber"/>
      </w:pPr>
      <w:r>
        <w:rPr>
          <w:b/>
        </w:rPr>
        <w:t>Desqualificação Técnica Momentânea</w:t>
      </w:r>
      <w:r>
        <w:t>: A equipe remanescente contava com apenas um servidor (Marcelo) apto para a elaboração de minutas.</w:t>
      </w:r>
    </w:p>
    <w:p>
      <w:pPr>
        <w:pStyle w:val="Heading2"/>
      </w:pPr>
      <w:r>
        <w:t>1.2. Impacto Quantitativo nos Indicadores</w:t>
      </w:r>
    </w:p>
    <w:p>
      <w:r>
        <w:t>O reflexo operacional foi imediato:</w:t>
      </w:r>
    </w:p>
    <w:p>
      <w:pPr>
        <w:pStyle w:val="ListBullet"/>
      </w:pPr>
      <w:r>
        <w:rPr>
          <w:b/>
        </w:rPr>
        <w:t>Demanda Constante</w:t>
      </w:r>
      <w:r>
        <w:t>: Distribuição estável (1.823 em 2023 → 1.854 em 2024).</w:t>
      </w:r>
    </w:p>
    <w:p>
      <w:pPr>
        <w:pStyle w:val="ListBullet"/>
      </w:pPr>
      <w:r>
        <w:rPr>
          <w:b/>
        </w:rPr>
        <w:t>Retração Produtiva</w:t>
      </w:r>
      <w:r>
        <w:t>: Queda de 58% no volume de julgamentos (1.635 para 684), decorrente da ausência de pessoal.</w:t>
      </w:r>
    </w:p>
    <w:p>
      <w:pPr>
        <w:pStyle w:val="ListBullet"/>
      </w:pPr>
      <w:r>
        <w:rPr>
          <w:b/>
        </w:rPr>
        <w:t>Formação de Passivo</w:t>
      </w:r>
      <w:r>
        <w:t>: O acervo acumulado foi consequência direta da redução da capacidade de processamento (output).</w:t>
      </w:r>
    </w:p>
    <w:p>
      <w:pPr>
        <w:pStyle w:val="Heading2"/>
      </w:pPr>
      <w:r>
        <w:t>1.3. Distorção Qualitativa do Acervo Herdado</w:t>
      </w:r>
    </w:p>
    <w:p>
      <w:r>
        <w:t xml:space="preserve">A análise temática revela que a equipe remanescente de 2024, operando em modo de sobrevivência, priorizou matérias de menor complexidade (BPC/LOAS). Consequentemente, a gestão atual herdou um acervo com concentração anormal de casos de alta complexidade previdenciária (aposentadoria especial, tempo especial) — um passivo não apenas quantitativo, mas </w:t>
      </w:r>
      <w:r>
        <w:rPr>
          <w:b/>
        </w:rPr>
        <w:t>qualitativamente mais difícil</w:t>
      </w:r>
      <w:r>
        <w:t xml:space="preserve"> que a média histórica da unidade.</w:t>
      </w:r>
    </w:p>
    <w:p>
      <w:pPr>
        <w:spacing w:after="2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Plano de Reestruturação e Gestão Estratégica (2025)</w:t>
      </w:r>
    </w:p>
    <w:p>
      <w:r>
        <w:t xml:space="preserve">Em </w:t>
      </w:r>
      <w:r>
        <w:rPr>
          <w:b/>
        </w:rPr>
        <w:t>Setembro/2024</w:t>
      </w:r>
      <w:r>
        <w:t>, a atual gestão iniciou o processo de reconstrução das rotinas de trabalho.</w:t>
      </w:r>
    </w:p>
    <w:p>
      <w:pPr>
        <w:pStyle w:val="Heading2"/>
      </w:pPr>
      <w:r>
        <w:t>2.1. Metodologia Aplicada</w:t>
      </w:r>
    </w:p>
    <w:p>
      <w:pPr>
        <w:pStyle w:val="ListBullet"/>
      </w:pPr>
      <w:r>
        <w:rPr>
          <w:b/>
        </w:rPr>
        <w:t>Priorização Racional ("70/30")</w:t>
      </w:r>
      <w:r>
        <w:t>: Alocação majoritária da força de trabalho (70%) para redução do acervo com paralisação &gt; 150 dias.</w:t>
      </w:r>
    </w:p>
    <w:p>
      <w:pPr>
        <w:pStyle w:val="ListBullet"/>
      </w:pPr>
      <w:r>
        <w:rPr>
          <w:b/>
        </w:rPr>
        <w:t>Gestão Visual de Fluxo</w:t>
      </w:r>
      <w:r>
        <w:t>: Implementação de localizadores no sistema Eproc para controle de prazos.</w:t>
      </w:r>
    </w:p>
    <w:p>
      <w:pPr>
        <w:pStyle w:val="ListBullet"/>
      </w:pPr>
      <w:r>
        <w:rPr>
          <w:b/>
        </w:rPr>
        <w:t>Capacitação Técnica Intensiva</w:t>
      </w:r>
      <w:r>
        <w:t>: Assunção direta, pelo magistrado, do treinamento dos novos servidores e estagiários.</w:t>
      </w:r>
    </w:p>
    <w:p>
      <w:pPr>
        <w:pStyle w:val="Heading2"/>
      </w:pPr>
      <w:r>
        <w:t>2.2. Resultados Alcançados: Da Inclusão no PAE à Liderança Regional</w:t>
      </w:r>
    </w:p>
    <w:p>
      <w:r>
        <w:t>A eficácia das medidas é comprovada pelos indicadores oficiais do TRF2: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RESULTADO INSTITUCIONAL</w:t>
              <w:br/>
              <w:br/>
            </w:r>
            <w:r>
              <w:rPr>
                <w:b/>
                <w:color w:val="FFD700"/>
                <w:sz w:val="32"/>
              </w:rPr>
              <w:t>1º LUGAR no cumprimento da Meta 1 do CNJ</w:t>
              <w:br/>
            </w:r>
            <w:r>
              <w:rPr>
                <w:color w:val="FFFFFF"/>
                <w:sz w:val="22"/>
              </w:rPr>
              <w:t>entre todas as 24 Relatorias das Turmas Recursais do RJ</w:t>
              <w:br/>
              <w:br/>
            </w:r>
            <w:r>
              <w:rPr>
                <w:color w:val="C8C8C8"/>
                <w:sz w:val="20"/>
              </w:rPr>
              <w:t>Índice: 131,46% | Fonte: Quadro de Acompanhamento PAE (Jan/2026)</w:t>
            </w:r>
          </w:p>
        </w:tc>
      </w:tr>
    </w:tbl>
    <w:p/>
    <w:p>
      <w:pPr>
        <w:pStyle w:val="ListBullet"/>
      </w:pPr>
      <w:r>
        <w:rPr>
          <w:b/>
        </w:rPr>
        <w:t>Saneamento do Passivo</w:t>
      </w:r>
      <w:r>
        <w:t>: Estoque crítico (parados &gt; 150 dias) zerado em Julho/2025 e mantido sob controle.</w:t>
      </w:r>
    </w:p>
    <w:p>
      <w:pPr>
        <w:pStyle w:val="ListBullet"/>
      </w:pPr>
      <w:r>
        <w:rPr>
          <w:b/>
        </w:rPr>
        <w:t>Redução Global</w:t>
      </w:r>
      <w:r>
        <w:t>: Diminuição de 35% no acervo total (de 2.056 para 1.329).</w:t>
      </w:r>
    </w:p>
    <w:p>
      <w:r>
        <w:t xml:space="preserve">Em menos de 16 meses, a unidade transitou da condição de "unidade sob acompanhamento especial" para </w:t>
      </w:r>
      <w:r>
        <w:rPr>
          <w:b/>
        </w:rPr>
        <w:t>referência de eficiência</w:t>
      </w:r>
      <w:r>
        <w:t xml:space="preserve"> no sistema de Turmas Recursais do Rio de Janeiro.</w:t>
      </w:r>
    </w:p>
    <w:p>
      <w:pPr>
        <w:pStyle w:val="Heading2"/>
      </w:pPr>
      <w:r>
        <w:t>2.3. Comprovação Visual: A Trajetória nos Indicadores Oficiais</w:t>
      </w:r>
    </w:p>
    <w:p>
      <w:r>
        <w:t>Os gráficos extraídos do Painel CNJ (Justiça em Números) ilustram a trajetória da unidade de forma inequívoca: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D9E2F3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209"/>
            <w:shd w:fill="D9E2F3"/>
          </w:tcPr>
          <w:p>
            <w:r>
              <w:rPr>
                <w:b/>
              </w:rPr>
              <w:t>Pior Momento (2024)</w:t>
            </w:r>
          </w:p>
        </w:tc>
        <w:tc>
          <w:tcPr>
            <w:tcW w:type="dxa" w:w="2209"/>
            <w:shd w:fill="D9E2F3"/>
          </w:tcPr>
          <w:p>
            <w:r>
              <w:rPr>
                <w:b/>
              </w:rPr>
              <w:t>Situação Atual (Nov/2025)</w:t>
            </w:r>
          </w:p>
        </w:tc>
        <w:tc>
          <w:tcPr>
            <w:tcW w:type="dxa" w:w="2209"/>
            <w:shd w:fill="D9E2F3"/>
          </w:tcPr>
          <w:p>
            <w:r>
              <w:rPr>
                <w:b/>
              </w:rPr>
              <w:t>Variação</w:t>
            </w:r>
          </w:p>
        </w:tc>
      </w:tr>
      <w:tr>
        <w:tc>
          <w:tcPr>
            <w:tcW w:type="dxa" w:w="2209"/>
          </w:tcPr>
          <w:p>
            <w:r>
              <w:rPr>
                <w:b/>
              </w:rPr>
              <w:t>Índice de Atendimento à Demanda</w:t>
            </w:r>
          </w:p>
        </w:tc>
        <w:tc>
          <w:tcPr>
            <w:tcW w:type="dxa" w:w="2209"/>
          </w:tcPr>
          <w:p>
            <w:r>
              <w:t>41,26%</w:t>
            </w:r>
          </w:p>
        </w:tc>
        <w:tc>
          <w:tcPr>
            <w:tcW w:type="dxa" w:w="2209"/>
          </w:tcPr>
          <w:p>
            <w:r>
              <w:t>113,92%</w:t>
            </w:r>
          </w:p>
        </w:tc>
        <w:tc>
          <w:tcPr>
            <w:tcW w:type="dxa" w:w="2209"/>
          </w:tcPr>
          <w:p>
            <w:r>
              <w:t>+176%</w:t>
            </w:r>
          </w:p>
        </w:tc>
      </w:tr>
      <w:tr>
        <w:tc>
          <w:tcPr>
            <w:tcW w:type="dxa" w:w="2209"/>
          </w:tcPr>
          <w:p>
            <w:r>
              <w:rPr>
                <w:b/>
              </w:rPr>
              <w:t>Taxa de Congestionamento Líquida</w:t>
            </w:r>
          </w:p>
        </w:tc>
        <w:tc>
          <w:tcPr>
            <w:tcW w:type="dxa" w:w="2209"/>
          </w:tcPr>
          <w:p>
            <w:r>
              <w:t>69,76%</w:t>
            </w:r>
          </w:p>
        </w:tc>
        <w:tc>
          <w:tcPr>
            <w:tcW w:type="dxa" w:w="2209"/>
          </w:tcPr>
          <w:p>
            <w:r>
              <w:t>33,86%</w:t>
            </w:r>
          </w:p>
        </w:tc>
        <w:tc>
          <w:tcPr>
            <w:tcW w:type="dxa" w:w="2209"/>
          </w:tcPr>
          <w:p>
            <w:r>
              <w:t>-51%</w:t>
            </w:r>
          </w:p>
        </w:tc>
      </w:tr>
    </w:tbl>
    <w:p>
      <w:r>
        <w:rPr>
          <w:i/>
        </w:rPr>
        <w:t>Gráficos anexos: CNJ_IAD.png e CNJ_TCL.png</w:t>
      </w:r>
    </w:p>
    <w:p>
      <w:pPr>
        <w:spacing w:after="2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Perspectivas e Metas de Convergência (2026)</w:t>
      </w:r>
    </w:p>
    <w:p>
      <w:r>
        <w:t>O objetivo agora deixa de ser "apagar incêndio" e passa a ser "manter a velocidade de cruzeiro", consolidando os resultados alcançados.</w:t>
      </w:r>
    </w:p>
    <w:p>
      <w:pPr>
        <w:pStyle w:val="Heading2"/>
      </w:pPr>
      <w:r>
        <w:t>3.1. Consolidação da Equipe e Continuidade Operacional</w:t>
      </w:r>
    </w:p>
    <w:p>
      <w:r>
        <w:t>Os servidores do Grupo de Apoio (GSA), cuja prorrogação foi deferida, constituem hoje recurso humano central para a manutenção dos resultados:</w:t>
      </w:r>
    </w:p>
    <w:p>
      <w:pPr>
        <w:pStyle w:val="ListBullet"/>
      </w:pPr>
      <w:r>
        <w:rPr>
          <w:b/>
        </w:rPr>
        <w:t>Participação na Produção</w:t>
      </w:r>
      <w:r>
        <w:t>: Responsáveis por 28,2% de todos os atos decisórios de 2025.</w:t>
      </w:r>
    </w:p>
    <w:p>
      <w:pPr>
        <w:pStyle w:val="ListBullet"/>
      </w:pPr>
      <w:r>
        <w:rPr>
          <w:b/>
        </w:rPr>
        <w:t>Qualificação Consolidada</w:t>
      </w:r>
      <w:r>
        <w:t>: Após 12 meses de capacitação, dominam a instrução de demandas de alta complexidade previdenciária.</w:t>
      </w:r>
    </w:p>
    <w:p>
      <w:r>
        <w:t>A estabilidade da equipe atual assegura a sustentabilidade da produtividade demonstrada.</w:t>
      </w:r>
    </w:p>
    <w:p>
      <w:pPr>
        <w:pStyle w:val="Heading2"/>
      </w:pPr>
      <w:r>
        <w:t>3.2. Metas de Convergência (Ofício CJF 0805981)</w:t>
      </w:r>
    </w:p>
    <w:p>
      <w:r>
        <w:t>Para atingir a média da 2ª Região, o plano estabelece os seguintes alvos numéricos para 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D9E2F3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209"/>
            <w:shd w:fill="D9E2F3"/>
          </w:tcPr>
          <w:p>
            <w:r>
              <w:rPr>
                <w:b/>
              </w:rPr>
              <w:t>Situação Atual (Out/25)</w:t>
            </w:r>
          </w:p>
        </w:tc>
        <w:tc>
          <w:tcPr>
            <w:tcW w:type="dxa" w:w="2209"/>
            <w:shd w:fill="D9E2F3"/>
          </w:tcPr>
          <w:p>
            <w:r>
              <w:rPr>
                <w:b/>
              </w:rPr>
              <w:t>Meta 2026 (Alvo)</w:t>
            </w:r>
          </w:p>
        </w:tc>
        <w:tc>
          <w:tcPr>
            <w:tcW w:type="dxa" w:w="2209"/>
            <w:shd w:fill="D9E2F3"/>
          </w:tcPr>
          <w:p>
            <w:r>
              <w:rPr>
                <w:b/>
              </w:rPr>
              <w:t>Ação Necessária</w:t>
            </w:r>
          </w:p>
        </w:tc>
      </w:tr>
      <w:tr>
        <w:tc>
          <w:tcPr>
            <w:tcW w:type="dxa" w:w="2209"/>
          </w:tcPr>
          <w:p>
            <w:r>
              <w:rPr>
                <w:b/>
              </w:rPr>
              <w:t>Acervo Total</w:t>
            </w:r>
          </w:p>
        </w:tc>
        <w:tc>
          <w:tcPr>
            <w:tcW w:type="dxa" w:w="2209"/>
          </w:tcPr>
          <w:p>
            <w:r>
              <w:t>1.487</w:t>
            </w:r>
          </w:p>
        </w:tc>
        <w:tc>
          <w:tcPr>
            <w:tcW w:type="dxa" w:w="2209"/>
          </w:tcPr>
          <w:p>
            <w:r>
              <w:t>~733 (Média RJ)</w:t>
            </w:r>
          </w:p>
        </w:tc>
        <w:tc>
          <w:tcPr>
            <w:tcW w:type="dxa" w:w="2209"/>
          </w:tcPr>
          <w:p>
            <w:r>
              <w:t>Reduzir 50% do estoque via mutirão GSA.</w:t>
            </w:r>
          </w:p>
        </w:tc>
      </w:tr>
      <w:tr>
        <w:tc>
          <w:tcPr>
            <w:tcW w:type="dxa" w:w="2209"/>
          </w:tcPr>
          <w:p>
            <w:r>
              <w:rPr>
                <w:b/>
              </w:rPr>
              <w:t>Tempo Médio</w:t>
            </w:r>
          </w:p>
        </w:tc>
        <w:tc>
          <w:tcPr>
            <w:tcW w:type="dxa" w:w="2209"/>
          </w:tcPr>
          <w:p>
            <w:r>
              <w:t>18,0 meses</w:t>
            </w:r>
          </w:p>
        </w:tc>
        <w:tc>
          <w:tcPr>
            <w:tcW w:type="dxa" w:w="2209"/>
          </w:tcPr>
          <w:p>
            <w:r>
              <w:t>~15,7 meses</w:t>
            </w:r>
          </w:p>
        </w:tc>
        <w:tc>
          <w:tcPr>
            <w:tcW w:type="dxa" w:w="2209"/>
          </w:tcPr>
          <w:p>
            <w:r>
              <w:t>Priorizar baixas antigas (Meta 2).</w:t>
            </w:r>
          </w:p>
        </w:tc>
      </w:tr>
      <w:tr>
        <w:tc>
          <w:tcPr>
            <w:tcW w:type="dxa" w:w="2209"/>
          </w:tcPr>
          <w:p>
            <w:r>
              <w:rPr>
                <w:b/>
              </w:rPr>
              <w:t>Sem 1ª Decisão</w:t>
            </w:r>
          </w:p>
        </w:tc>
        <w:tc>
          <w:tcPr>
            <w:tcW w:type="dxa" w:w="2209"/>
          </w:tcPr>
          <w:p>
            <w:r>
              <w:t>1.048</w:t>
            </w:r>
          </w:p>
        </w:tc>
        <w:tc>
          <w:tcPr>
            <w:tcW w:type="dxa" w:w="2209"/>
          </w:tcPr>
          <w:p>
            <w:r>
              <w:t>~465</w:t>
            </w:r>
          </w:p>
        </w:tc>
        <w:tc>
          <w:tcPr>
            <w:tcW w:type="dxa" w:w="2209"/>
          </w:tcPr>
          <w:p>
            <w:r>
              <w:t>Manter ritmo de 300+ sentenças/mês.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E2EFDA"/>
          </w:tcPr>
          <w:p>
            <w:r>
              <w:rPr>
                <w:b/>
              </w:rPr>
              <w:t xml:space="preserve">Estratégia: </w:t>
            </w:r>
            <w:r>
              <w:t xml:space="preserve">A manutenção da produtividade atual (3.250 atos/ano) permitirá atingir a média regional em </w:t>
            </w:r>
            <w:r>
              <w:rPr>
                <w:b/>
              </w:rPr>
              <w:t>aproximadamente 8 meses</w:t>
            </w:r>
            <w:r>
              <w:t>, desde que a força de trabalho seja mantida integralmente (incluindo GSA).</w:t>
            </w:r>
          </w:p>
        </w:tc>
      </w:tr>
    </w:tbl>
    <w:p>
      <w:pPr>
        <w:pStyle w:val="Heading2"/>
      </w:pPr>
      <w:r>
        <w:t>3.3. Condições para Manutenção da Trajetória</w:t>
      </w:r>
    </w:p>
    <w:p>
      <w:r>
        <w:t>A continuidade dos resultados depende de:</w:t>
      </w:r>
    </w:p>
    <w:p>
      <w:pPr>
        <w:pStyle w:val="ListNumber"/>
      </w:pPr>
      <w:r>
        <w:rPr>
          <w:b/>
        </w:rPr>
        <w:t>Estabilidade do quadro atual</w:t>
      </w:r>
      <w:r>
        <w:t>: Manutenção dos servidores GSA (já prorrogados) durante o período de maturação dos novos estagiários.</w:t>
      </w:r>
    </w:p>
    <w:p>
      <w:pPr>
        <w:pStyle w:val="ListNumber"/>
      </w:pPr>
      <w:r>
        <w:rPr>
          <w:b/>
        </w:rPr>
        <w:t>Cobertura de afastamentos</w:t>
      </w:r>
      <w:r>
        <w:t>: Substituição tempestiva durante licenças programadas (evitando oscilações de produtividade como a verificada em Nov/2025).</w:t>
      </w:r>
    </w:p>
    <w:p>
      <w:pPr>
        <w:spacing w:after="2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both"/>
      </w:pPr>
      <w:r>
        <w:rPr>
          <w:i/>
        </w:rPr>
        <w:t>A trajetória documentada demonstra que a crise de 2024 decorreu de fatores circunstanciais de pessoal — não de falhas estruturais ou de gestão. A recuperação de 2025, coroada pelo 1º lugar no ranking regional de eficiência, comprova a eficácia da metodologia aplicada e o retorno do investimento em capacitação. A unidade encontra-se, hoje, em condições de atingir a média regional no exercício de 2026.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