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6C230811"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proofErr w:type="gramStart"/>
            <w:r w:rsidR="00035429">
              <w:rPr>
                <w:rFonts w:eastAsia="Aptos"/>
              </w:rPr>
              <w:t>accedere ,</w:t>
            </w:r>
            <w:proofErr w:type="gramEnd"/>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77777777" w:rsidR="002E097E" w:rsidRDefault="002E097E" w:rsidP="002E097E">
      <w:pPr>
        <w:jc w:val="center"/>
        <w:rPr>
          <w:b/>
          <w:bCs/>
          <w:sz w:val="36"/>
          <w:szCs w:val="36"/>
        </w:rPr>
      </w:pPr>
    </w:p>
    <w:p w14:paraId="566FB99F" w14:textId="77777777" w:rsidR="002E097E" w:rsidRDefault="002E097E" w:rsidP="002E097E">
      <w:pPr>
        <w:jc w:val="center"/>
        <w:rPr>
          <w:b/>
          <w:bCs/>
          <w:sz w:val="36"/>
          <w:szCs w:val="36"/>
        </w:rPr>
      </w:pPr>
    </w:p>
    <w:p w14:paraId="48470D11" w14:textId="77777777" w:rsidR="002E097E" w:rsidRDefault="002E097E" w:rsidP="002E097E">
      <w:pPr>
        <w:jc w:val="center"/>
        <w:rPr>
          <w:b/>
          <w:bCs/>
          <w:sz w:val="36"/>
          <w:szCs w:val="36"/>
        </w:rPr>
      </w:pPr>
    </w:p>
    <w:p w14:paraId="21176386" w14:textId="77777777" w:rsidR="002E097E" w:rsidRDefault="002E097E" w:rsidP="002E097E">
      <w:pPr>
        <w:jc w:val="center"/>
        <w:rPr>
          <w:b/>
          <w:bCs/>
          <w:sz w:val="36"/>
          <w:szCs w:val="36"/>
        </w:rPr>
      </w:pPr>
    </w:p>
    <w:p w14:paraId="7127A74D" w14:textId="77777777" w:rsidR="002E097E" w:rsidRDefault="002E097E" w:rsidP="002E097E">
      <w:pPr>
        <w:jc w:val="center"/>
        <w:rPr>
          <w:b/>
          <w:bCs/>
          <w:sz w:val="36"/>
          <w:szCs w:val="36"/>
        </w:rPr>
      </w:pPr>
    </w:p>
    <w:p w14:paraId="4F820A1C" w14:textId="77777777" w:rsidR="002E097E" w:rsidRDefault="002E097E" w:rsidP="002E097E">
      <w:pPr>
        <w:jc w:val="center"/>
        <w:rPr>
          <w:b/>
          <w:bCs/>
          <w:sz w:val="36"/>
          <w:szCs w:val="36"/>
        </w:rPr>
      </w:pPr>
    </w:p>
    <w:p w14:paraId="5EA1C251" w14:textId="77777777" w:rsidR="002E097E" w:rsidRDefault="002E097E" w:rsidP="002E097E">
      <w:pPr>
        <w:jc w:val="center"/>
        <w:rPr>
          <w:b/>
          <w:bCs/>
          <w:sz w:val="36"/>
          <w:szCs w:val="36"/>
        </w:rPr>
      </w:pPr>
    </w:p>
    <w:p w14:paraId="23E52FFC" w14:textId="77777777" w:rsidR="002E097E" w:rsidRDefault="002E097E" w:rsidP="002E097E">
      <w:pPr>
        <w:jc w:val="center"/>
        <w:rPr>
          <w:b/>
          <w:bCs/>
          <w:sz w:val="36"/>
          <w:szCs w:val="36"/>
        </w:rPr>
      </w:pP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77777777" w:rsidR="00AF118E" w:rsidRDefault="00000000" w:rsidP="002E097E">
            <w:pPr>
              <w:spacing w:after="0" w:line="240" w:lineRule="auto"/>
              <w:jc w:val="center"/>
              <w:rPr>
                <w:rFonts w:ascii="Aptos" w:eastAsia="Aptos" w:hAnsi="Aptos"/>
              </w:rPr>
            </w:pPr>
            <w:r>
              <w:rPr>
                <w:rFonts w:eastAsia="Aptos"/>
              </w:rPr>
              <w:t xml:space="preserve">Questo macro-caso d’uso permette ad ogni utente di gestire il proprio profilo. In particolare, un utente sarà in grado di: registrarsi, effettuare il login, effettuare il logout, cambiare le proprie credenziali, cambiare l’immagine del profilo, impostare i propri </w:t>
            </w:r>
            <w:proofErr w:type="spellStart"/>
            <w:r>
              <w:rPr>
                <w:rFonts w:eastAsia="Aptos"/>
              </w:rPr>
              <w:t>topic</w:t>
            </w:r>
            <w:proofErr w:type="spellEnd"/>
            <w:r>
              <w:rPr>
                <w:rFonts w:eastAsia="Aptos"/>
              </w:rPr>
              <w:t xml:space="preserve"> (?)</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53090953" w:rsidR="00F558DD" w:rsidRDefault="00000000" w:rsidP="002E097E">
            <w:pPr>
              <w:spacing w:after="0" w:line="240" w:lineRule="auto"/>
              <w:jc w:val="center"/>
              <w:rPr>
                <w:rFonts w:eastAsia="Aptos"/>
              </w:rPr>
            </w:pPr>
            <w:r>
              <w:rPr>
                <w:rFonts w:eastAsia="Aptos"/>
              </w:rPr>
              <w:t>Questo macro-caso d’uso permette ai Revisori e Sotto-Revisori di aggiungere, modificare e cancellare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rsidP="002E097E">
            <w:pPr>
              <w:spacing w:after="0" w:line="240" w:lineRule="auto"/>
              <w:jc w:val="center"/>
              <w:rPr>
                <w:rFonts w:ascii="Aptos" w:eastAsia="Aptos" w:hAnsi="Aptos"/>
              </w:rPr>
            </w:pPr>
          </w:p>
        </w:tc>
        <w:tc>
          <w:tcPr>
            <w:tcW w:w="4813" w:type="dxa"/>
            <w:tcBorders>
              <w:top w:val="nil"/>
            </w:tcBorders>
          </w:tcPr>
          <w:p w14:paraId="5479D043" w14:textId="77777777" w:rsidR="00AF118E" w:rsidRDefault="00AF118E" w:rsidP="002E097E">
            <w:pPr>
              <w:spacing w:after="0" w:line="240" w:lineRule="auto"/>
              <w:jc w:val="center"/>
              <w:rPr>
                <w:rFonts w:ascii="Aptos" w:eastAsia="Aptos" w:hAnsi="Aptos"/>
              </w:rPr>
            </w:pPr>
          </w:p>
        </w:tc>
      </w:tr>
    </w:tbl>
    <w:p w14:paraId="5E207C18" w14:textId="77777777" w:rsidR="00AF118E" w:rsidRDefault="00AF118E" w:rsidP="002E097E">
      <w:pPr>
        <w:jc w:val="center"/>
      </w:pPr>
    </w:p>
    <w:p w14:paraId="618C9693" w14:textId="1CD1A58B" w:rsidR="00AF118E" w:rsidRDefault="00000000" w:rsidP="002E097E">
      <w:pPr>
        <w:jc w:val="center"/>
      </w:pPr>
      <w:r>
        <w:t>Creare flusso eventi di errore DB</w:t>
      </w:r>
    </w:p>
    <w:p w14:paraId="6F5586F8" w14:textId="77777777" w:rsidR="002E097E" w:rsidRDefault="002E097E" w:rsidP="002E097E">
      <w:pPr>
        <w:jc w:val="center"/>
        <w:rPr>
          <w:b/>
          <w:bCs/>
        </w:rPr>
      </w:pPr>
    </w:p>
    <w:p w14:paraId="72A25B65" w14:textId="77777777" w:rsidR="002E097E" w:rsidRDefault="002E097E" w:rsidP="002E097E">
      <w:pPr>
        <w:jc w:val="center"/>
        <w:rPr>
          <w:b/>
          <w:bCs/>
        </w:rPr>
      </w:pPr>
    </w:p>
    <w:p w14:paraId="25630002" w14:textId="3F27BD9F"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9D0548F" w14:textId="77777777" w:rsidR="002E097E" w:rsidRDefault="002E097E" w:rsidP="002E097E">
      <w:pPr>
        <w:rPr>
          <w:b/>
          <w:bCs/>
        </w:rPr>
      </w:pPr>
    </w:p>
    <w:p w14:paraId="32396B6F" w14:textId="77777777" w:rsidR="002E097E" w:rsidRDefault="002E097E" w:rsidP="002E097E">
      <w:pPr>
        <w:rPr>
          <w:b/>
          <w:bCs/>
        </w:rPr>
      </w:pPr>
    </w:p>
    <w:p w14:paraId="7D4DCB8A" w14:textId="77777777" w:rsidR="002E097E" w:rsidRDefault="002E097E" w:rsidP="002E097E">
      <w:pPr>
        <w:rPr>
          <w:b/>
          <w:bCs/>
        </w:rPr>
      </w:pPr>
    </w:p>
    <w:p w14:paraId="3A31C408" w14:textId="77777777" w:rsidR="002E097E" w:rsidRDefault="002E097E" w:rsidP="002E097E">
      <w:pPr>
        <w:rPr>
          <w:b/>
          <w:bCs/>
        </w:rPr>
      </w:pPr>
    </w:p>
    <w:p w14:paraId="2C20FB9C" w14:textId="77777777" w:rsidR="002E097E" w:rsidRDefault="002E097E" w:rsidP="002E097E">
      <w:pPr>
        <w:rPr>
          <w:b/>
          <w:bCs/>
        </w:rPr>
      </w:pPr>
    </w:p>
    <w:p w14:paraId="183FA4A0" w14:textId="77777777" w:rsidR="002E097E" w:rsidRDefault="002E097E" w:rsidP="002E097E">
      <w:pPr>
        <w:rPr>
          <w:b/>
          <w:bCs/>
        </w:rPr>
      </w:pPr>
    </w:p>
    <w:p w14:paraId="4A3C2D9C" w14:textId="77777777" w:rsidR="002E097E" w:rsidRDefault="002E097E" w:rsidP="002E097E">
      <w:pPr>
        <w:rPr>
          <w:b/>
          <w:bCs/>
        </w:rPr>
      </w:pPr>
    </w:p>
    <w:p w14:paraId="220D3260" w14:textId="77777777" w:rsidR="002E097E" w:rsidRDefault="002E097E" w:rsidP="002E097E">
      <w:pPr>
        <w:rPr>
          <w:b/>
          <w:bCs/>
        </w:rPr>
      </w:pPr>
    </w:p>
    <w:p w14:paraId="43FCA888" w14:textId="77777777" w:rsidR="002E097E" w:rsidRDefault="002E097E" w:rsidP="002E097E">
      <w:pPr>
        <w:rPr>
          <w:b/>
          <w:bCs/>
        </w:rPr>
      </w:pPr>
    </w:p>
    <w:p w14:paraId="2527A703" w14:textId="77777777" w:rsidR="002E097E" w:rsidRDefault="002E097E" w:rsidP="002E097E">
      <w:pPr>
        <w:rPr>
          <w:b/>
          <w:bCs/>
        </w:rPr>
      </w:pPr>
    </w:p>
    <w:p w14:paraId="6EE62EBE" w14:textId="77777777" w:rsidR="002E097E" w:rsidRDefault="002E097E" w:rsidP="002E097E">
      <w:pPr>
        <w:rPr>
          <w:b/>
          <w:bCs/>
        </w:rPr>
      </w:pPr>
    </w:p>
    <w:p w14:paraId="71154C22" w14:textId="77777777" w:rsidR="002E097E" w:rsidRDefault="002E097E" w:rsidP="002E097E">
      <w:pPr>
        <w:rPr>
          <w:b/>
          <w:bCs/>
        </w:rPr>
      </w:pPr>
    </w:p>
    <w:p w14:paraId="53004C9C" w14:textId="77777777" w:rsidR="002E097E" w:rsidRDefault="002E097E" w:rsidP="002E097E">
      <w:pPr>
        <w:rPr>
          <w:b/>
          <w:bCs/>
        </w:rPr>
      </w:pPr>
    </w:p>
    <w:p w14:paraId="72762C24" w14:textId="77777777" w:rsidR="002E097E" w:rsidRDefault="002E097E" w:rsidP="002E097E">
      <w:pPr>
        <w:rPr>
          <w:b/>
          <w:bCs/>
        </w:rPr>
      </w:pPr>
    </w:p>
    <w:p w14:paraId="1DF1AE5B" w14:textId="77777777" w:rsidR="002E097E" w:rsidRDefault="002E097E" w:rsidP="002E097E">
      <w:pPr>
        <w:rPr>
          <w:b/>
          <w:bCs/>
        </w:rPr>
      </w:pPr>
    </w:p>
    <w:p w14:paraId="2054C26F" w14:textId="77777777" w:rsidR="002E097E" w:rsidRDefault="002E097E" w:rsidP="002E097E">
      <w:pPr>
        <w:rPr>
          <w:b/>
          <w:bCs/>
        </w:rPr>
      </w:pPr>
    </w:p>
    <w:p w14:paraId="00E73C6D" w14:textId="77777777" w:rsidR="002E097E" w:rsidRDefault="002E097E" w:rsidP="002E097E">
      <w:pPr>
        <w:rPr>
          <w:b/>
          <w:bCs/>
        </w:rPr>
      </w:pP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77777777" w:rsidR="002E097E" w:rsidRDefault="002E097E" w:rsidP="00AD5242">
            <w:pPr>
              <w:pStyle w:val="Paragrafoelenco"/>
              <w:numPr>
                <w:ilvl w:val="0"/>
                <w:numId w:val="1"/>
              </w:numPr>
            </w:pPr>
            <w:r>
              <w:t>L’utente inserisce le proprie informazioni personali* e le credenziali** con la quale vorrà effettuare l’accesso in futuro all’interno del form.</w:t>
            </w:r>
          </w:p>
          <w:p w14:paraId="1ABADD78" w14:textId="77777777" w:rsidR="002E097E" w:rsidRDefault="002E097E" w:rsidP="00AD5242">
            <w:pPr>
              <w:pStyle w:val="Paragrafoelenco"/>
              <w:numPr>
                <w:ilvl w:val="0"/>
                <w:numId w:val="1"/>
              </w:numPr>
            </w:pPr>
            <w:r>
              <w:t>L’utente preme il tasto “Conferma”</w:t>
            </w:r>
          </w:p>
          <w:p w14:paraId="0DCEF620" w14:textId="77777777" w:rsidR="002E097E" w:rsidRDefault="002E097E" w:rsidP="00AD5242">
            <w:pPr>
              <w:pStyle w:val="Paragrafoelenco"/>
              <w:numPr>
                <w:ilvl w:val="0"/>
                <w:numId w:val="1"/>
              </w:numPr>
            </w:pPr>
            <w:r>
              <w:t xml:space="preserve">FINCHÉ i campi del form non sono tutti compilati oppure </w:t>
            </w:r>
            <w:proofErr w:type="gramStart"/>
            <w:r>
              <w:t>l’ e-mail</w:t>
            </w:r>
            <w:proofErr w:type="gramEnd"/>
            <w:r>
              <w:t xml:space="preserve"> e/o la password sono in un formato non corretto oppure </w:t>
            </w:r>
            <w:proofErr w:type="gramStart"/>
            <w:r>
              <w:t>l’email</w:t>
            </w:r>
            <w:proofErr w:type="gramEnd"/>
            <w:r>
              <w:t xml:space="preserve"> inserita è già in uso</w:t>
            </w:r>
          </w:p>
          <w:p w14:paraId="57C4DF92" w14:textId="77777777" w:rsidR="002E097E" w:rsidRDefault="002E097E" w:rsidP="00AD5242">
            <w:pPr>
              <w:pStyle w:val="Paragrafoelenco"/>
              <w:numPr>
                <w:ilvl w:val="1"/>
                <w:numId w:val="1"/>
              </w:numPr>
            </w:pPr>
            <w:r>
              <w:t>SE il form presenta campi non compilati</w:t>
            </w:r>
          </w:p>
          <w:p w14:paraId="36C1DBDA" w14:textId="77777777" w:rsidR="002E097E" w:rsidRDefault="002E097E" w:rsidP="00AD5242">
            <w:pPr>
              <w:pStyle w:val="Paragrafoelenco"/>
              <w:numPr>
                <w:ilvl w:val="2"/>
                <w:numId w:val="1"/>
              </w:numPr>
            </w:pPr>
            <w:r>
              <w:t xml:space="preserve"> Il sistema mostra a video l’errore “Errore: Bisogna compilare tutti i campi”</w:t>
            </w:r>
          </w:p>
          <w:p w14:paraId="461BFEAE" w14:textId="77777777" w:rsidR="002E097E" w:rsidRDefault="002E097E" w:rsidP="00AD5242">
            <w:pPr>
              <w:pStyle w:val="Paragrafoelenco"/>
              <w:numPr>
                <w:ilvl w:val="1"/>
                <w:numId w:val="1"/>
              </w:numPr>
            </w:pPr>
            <w:r>
              <w:t>SE il formato della mail non è corretto</w:t>
            </w:r>
          </w:p>
          <w:p w14:paraId="3B0633CD" w14:textId="77777777" w:rsidR="002E097E" w:rsidRDefault="002E097E" w:rsidP="00AD5242">
            <w:pPr>
              <w:pStyle w:val="Paragrafoelenco"/>
              <w:numPr>
                <w:ilvl w:val="2"/>
                <w:numId w:val="1"/>
              </w:numPr>
            </w:pPr>
            <w:r>
              <w:t>Il sistema mostra a video l’errore “Errore: formato e-mail non corretto!”</w:t>
            </w:r>
          </w:p>
          <w:p w14:paraId="77FE0A19" w14:textId="77777777" w:rsidR="002E097E" w:rsidRDefault="002E097E" w:rsidP="00AD5242">
            <w:pPr>
              <w:pStyle w:val="Paragrafoelenco"/>
              <w:numPr>
                <w:ilvl w:val="1"/>
                <w:numId w:val="1"/>
              </w:numPr>
            </w:pPr>
            <w:r>
              <w:t>SE il formato della password non è corretto</w:t>
            </w:r>
          </w:p>
          <w:p w14:paraId="67D65DFC" w14:textId="77777777" w:rsidR="002E097E" w:rsidRDefault="002E097E" w:rsidP="00AD5242">
            <w:pPr>
              <w:pStyle w:val="Paragrafoelenco"/>
              <w:numPr>
                <w:ilvl w:val="2"/>
                <w:numId w:val="1"/>
              </w:numPr>
            </w:pPr>
            <w:r>
              <w:t xml:space="preserve">Il sistema mostra a video l’errore: “Errore: formato password non corretto!” </w:t>
            </w:r>
            <w:r w:rsidRPr="006E25BA">
              <w:rPr>
                <w:color w:val="FF0000"/>
              </w:rPr>
              <w:t>specificando i requisiti del formato corretto</w:t>
            </w:r>
            <w:r>
              <w:rPr>
                <w:color w:val="FF0000"/>
              </w:rPr>
              <w:t>***</w:t>
            </w:r>
          </w:p>
          <w:p w14:paraId="25E084F5" w14:textId="77777777" w:rsidR="002E097E" w:rsidRDefault="002E097E" w:rsidP="00AD5242">
            <w:pPr>
              <w:pStyle w:val="Paragrafoelenco"/>
              <w:numPr>
                <w:ilvl w:val="1"/>
                <w:numId w:val="1"/>
              </w:numPr>
            </w:pPr>
            <w:r>
              <w:t>Il sistema interroga il DBMS per controllare che l’e-mail inserita non sia già in uso</w:t>
            </w:r>
          </w:p>
          <w:p w14:paraId="315980DF" w14:textId="77777777" w:rsidR="002E097E" w:rsidRDefault="002E097E" w:rsidP="00AD5242">
            <w:pPr>
              <w:pStyle w:val="Paragrafoelenco"/>
              <w:numPr>
                <w:ilvl w:val="1"/>
                <w:numId w:val="1"/>
              </w:numPr>
            </w:pPr>
            <w:r>
              <w:t>SE l’e-mail è già in uso</w:t>
            </w:r>
          </w:p>
          <w:p w14:paraId="51B1CAFE" w14:textId="77777777" w:rsidR="002E097E" w:rsidRDefault="002E097E" w:rsidP="00AD5242">
            <w:pPr>
              <w:pStyle w:val="Paragrafoelenco"/>
              <w:numPr>
                <w:ilvl w:val="2"/>
                <w:numId w:val="1"/>
              </w:numPr>
            </w:pPr>
            <w:r>
              <w:lastRenderedPageBreak/>
              <w:t>Il sistema mostra a video l’errore “Errore: email già in uso!”</w:t>
            </w:r>
          </w:p>
          <w:p w14:paraId="2CC56644" w14:textId="77777777" w:rsidR="002E097E" w:rsidRDefault="002E097E" w:rsidP="00AD5242">
            <w:pPr>
              <w:pStyle w:val="Paragrafoelenco"/>
              <w:numPr>
                <w:ilvl w:val="1"/>
                <w:numId w:val="1"/>
              </w:numPr>
            </w:pPr>
            <w:r>
              <w:t>L’utente ricompila i campi</w:t>
            </w:r>
          </w:p>
          <w:p w14:paraId="2BF0F913" w14:textId="77777777" w:rsidR="002E097E" w:rsidRDefault="002E097E" w:rsidP="00AD5242">
            <w:pPr>
              <w:pStyle w:val="Paragrafoelenco"/>
              <w:numPr>
                <w:ilvl w:val="1"/>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706EB6EE" w14:textId="77777777" w:rsidR="002E097E" w:rsidRDefault="002E097E" w:rsidP="00AD5242">
            <w:pPr>
              <w:pStyle w:val="Paragrafoelenco"/>
              <w:numPr>
                <w:ilvl w:val="0"/>
                <w:numId w:val="1"/>
              </w:numPr>
            </w:pPr>
            <w:r>
              <w:t>L’utente viene autenticato</w:t>
            </w:r>
          </w:p>
          <w:p w14:paraId="33407EF8" w14:textId="4A0031EB" w:rsidR="007332AE" w:rsidRDefault="00BB4490" w:rsidP="00AD5242">
            <w:pPr>
              <w:pStyle w:val="Paragrafoelenco"/>
              <w:numPr>
                <w:ilvl w:val="0"/>
                <w:numId w:val="1"/>
              </w:numPr>
            </w:pPr>
            <w:r>
              <w:t xml:space="preserve">Il sistema mostra a video il messaggio: “Per continuare, è necessario inserire almeno un </w:t>
            </w:r>
            <w:proofErr w:type="spellStart"/>
            <w:r>
              <w:t>topic</w:t>
            </w:r>
            <w:proofErr w:type="spellEnd"/>
            <w:r>
              <w:t>”</w:t>
            </w:r>
          </w:p>
          <w:p w14:paraId="690EAA30" w14:textId="2939B671" w:rsidR="00BB4490" w:rsidRDefault="00BB4490" w:rsidP="00AD5242">
            <w:pPr>
              <w:pStyle w:val="Paragrafoelenco"/>
              <w:numPr>
                <w:ilvl w:val="0"/>
                <w:numId w:val="1"/>
              </w:numPr>
            </w:pPr>
            <w:r>
              <w:t>L’utente preme il tasto “Continua”</w:t>
            </w:r>
          </w:p>
          <w:p w14:paraId="626CB927" w14:textId="5160BA3C" w:rsidR="00BA74CC" w:rsidRDefault="007332AE" w:rsidP="007332AE">
            <w:pPr>
              <w:pStyle w:val="Paragrafoelenco"/>
              <w:numPr>
                <w:ilvl w:val="0"/>
                <w:numId w:val="1"/>
              </w:numPr>
            </w:pPr>
            <w:r>
              <w:rPr>
                <w:color w:val="FF0000"/>
              </w:rPr>
              <w:t>Il sistema ha mostrato a video la schermata “Visualizza Topic”</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7C563F73" w:rsidR="002E097E" w:rsidRDefault="002E097E" w:rsidP="00AD5242">
            <w:r>
              <w:t xml:space="preserve">Il sistema ha mostrato a video la </w:t>
            </w:r>
            <w:r w:rsidR="00BA74CC" w:rsidRPr="00BA74CC">
              <w:t>schermata</w:t>
            </w:r>
            <w:r w:rsidRPr="00BA74CC">
              <w:t xml:space="preserve"> </w:t>
            </w:r>
            <w:r>
              <w:t>“</w:t>
            </w:r>
            <w:r w:rsidR="007332AE">
              <w:t>Visualizza Topic</w:t>
            </w:r>
            <w:r>
              <w:t>”</w:t>
            </w:r>
          </w:p>
        </w:tc>
      </w:tr>
      <w:tr w:rsidR="002E097E" w14:paraId="10EA1EF5" w14:textId="77777777" w:rsidTr="00AD5242">
        <w:tc>
          <w:tcPr>
            <w:tcW w:w="4814" w:type="dxa"/>
          </w:tcPr>
          <w:p w14:paraId="6455A15D" w14:textId="77777777" w:rsidR="002E097E" w:rsidRDefault="002E097E" w:rsidP="00AD5242">
            <w:r>
              <w:t>Extended Case</w:t>
            </w:r>
          </w:p>
        </w:tc>
        <w:tc>
          <w:tcPr>
            <w:tcW w:w="4814" w:type="dxa"/>
          </w:tcPr>
          <w:p w14:paraId="441C68B7" w14:textId="77777777" w:rsidR="002E097E" w:rsidRDefault="002E097E" w:rsidP="00AD5242">
            <w:r>
              <w:t>In caso di caduta di connessione viene invocato il caso d’uso “Errore Comunicazione DBMS”</w:t>
            </w:r>
          </w:p>
        </w:tc>
      </w:tr>
      <w:tr w:rsidR="002E097E" w14:paraId="07B32039" w14:textId="77777777" w:rsidTr="00AD5242">
        <w:tc>
          <w:tcPr>
            <w:tcW w:w="4814" w:type="dxa"/>
          </w:tcPr>
          <w:p w14:paraId="00B254C1" w14:textId="77777777" w:rsidR="002E097E" w:rsidRDefault="002E097E" w:rsidP="00AD5242">
            <w:r>
              <w:t>Requisiti speciali</w:t>
            </w:r>
          </w:p>
        </w:tc>
        <w:tc>
          <w:tcPr>
            <w:tcW w:w="4814" w:type="dxa"/>
          </w:tcPr>
          <w:p w14:paraId="546A28FC" w14:textId="77777777" w:rsidR="002E097E" w:rsidRDefault="002E097E" w:rsidP="00AD5242"/>
        </w:tc>
      </w:tr>
      <w:tr w:rsidR="002E097E" w14:paraId="3C342C37" w14:textId="77777777" w:rsidTr="00AD5242">
        <w:tc>
          <w:tcPr>
            <w:tcW w:w="4814" w:type="dxa"/>
          </w:tcPr>
          <w:p w14:paraId="7DE7CD05" w14:textId="77777777" w:rsidR="002E097E" w:rsidRDefault="002E097E" w:rsidP="00AD5242">
            <w:r>
              <w:t>Note</w:t>
            </w:r>
          </w:p>
        </w:tc>
        <w:tc>
          <w:tcPr>
            <w:tcW w:w="4814" w:type="dxa"/>
          </w:tcPr>
          <w:p w14:paraId="40B1405D" w14:textId="77777777" w:rsidR="002E097E" w:rsidRDefault="002E097E" w:rsidP="00AD5242">
            <w:r>
              <w:t>(*) Le informazioni personali sono composte da Nome e Cognome.</w:t>
            </w:r>
          </w:p>
          <w:p w14:paraId="6AFEF9E3" w14:textId="77777777" w:rsidR="002E097E" w:rsidRDefault="002E097E" w:rsidP="00AD5242">
            <w:r>
              <w:t>(**) Le credenziali sono composte da E-Mail e Password.</w:t>
            </w:r>
          </w:p>
          <w:p w14:paraId="52C56BF4" w14:textId="77777777" w:rsidR="002E097E" w:rsidRPr="006E25BA" w:rsidRDefault="002E097E" w:rsidP="00AD5242">
            <w:pPr>
              <w:rPr>
                <w:color w:val="FF0000"/>
              </w:rPr>
            </w:pPr>
            <w:r w:rsidRPr="006E25BA">
              <w:rPr>
                <w:color w:val="FF0000"/>
              </w:rPr>
              <w:t>(***) Il formato della password prevede almeno otto caratteri, di cui:</w:t>
            </w:r>
          </w:p>
          <w:p w14:paraId="7ACB5E75" w14:textId="77777777" w:rsidR="002E097E" w:rsidRPr="006E25BA" w:rsidRDefault="002E097E" w:rsidP="002E097E">
            <w:pPr>
              <w:pStyle w:val="Paragrafoelenco"/>
              <w:numPr>
                <w:ilvl w:val="0"/>
                <w:numId w:val="3"/>
              </w:numPr>
              <w:rPr>
                <w:color w:val="FF0000"/>
              </w:rPr>
            </w:pPr>
            <w:r w:rsidRPr="006E25BA">
              <w:rPr>
                <w:color w:val="FF0000"/>
              </w:rPr>
              <w:t>Almeno un carattere maiuscolo</w:t>
            </w:r>
          </w:p>
          <w:p w14:paraId="66F3A124" w14:textId="77777777" w:rsidR="002E097E" w:rsidRPr="006E25BA" w:rsidRDefault="002E097E" w:rsidP="002E097E">
            <w:pPr>
              <w:pStyle w:val="Paragrafoelenco"/>
              <w:numPr>
                <w:ilvl w:val="0"/>
                <w:numId w:val="3"/>
              </w:numPr>
              <w:rPr>
                <w:color w:val="FF0000"/>
              </w:rPr>
            </w:pPr>
            <w:r w:rsidRPr="006E25BA">
              <w:rPr>
                <w:color w:val="FF0000"/>
              </w:rPr>
              <w:t>Almeno un carattere minuscolo</w:t>
            </w:r>
          </w:p>
          <w:p w14:paraId="2B79DEFC" w14:textId="77777777" w:rsidR="002E097E" w:rsidRPr="006E25BA" w:rsidRDefault="002E097E" w:rsidP="002E097E">
            <w:pPr>
              <w:pStyle w:val="Paragrafoelenco"/>
              <w:numPr>
                <w:ilvl w:val="0"/>
                <w:numId w:val="3"/>
              </w:numPr>
              <w:rPr>
                <w:color w:val="FF0000"/>
              </w:rPr>
            </w:pPr>
            <w:r w:rsidRPr="006E25BA">
              <w:rPr>
                <w:color w:val="FF0000"/>
              </w:rPr>
              <w:t>Almeno un numero</w:t>
            </w:r>
          </w:p>
          <w:p w14:paraId="7D6C3B84" w14:textId="77777777" w:rsidR="002E097E" w:rsidRDefault="002E097E" w:rsidP="002E097E">
            <w:pPr>
              <w:pStyle w:val="Paragrafoelenco"/>
              <w:numPr>
                <w:ilvl w:val="0"/>
                <w:numId w:val="3"/>
              </w:numPr>
            </w:pPr>
            <w:r w:rsidRPr="006E25BA">
              <w:rPr>
                <w:color w:val="FF0000"/>
              </w:rPr>
              <w:t>Almeno un carattere speciale</w:t>
            </w:r>
          </w:p>
        </w:tc>
      </w:tr>
    </w:tbl>
    <w:p w14:paraId="38911E29" w14:textId="77777777" w:rsidR="002E097E" w:rsidRDefault="002E097E" w:rsidP="002E097E"/>
    <w:p w14:paraId="311CF802" w14:textId="179C412C" w:rsidR="003C32EE" w:rsidRDefault="00BB4490">
      <w:r>
        <w:rPr>
          <w:b/>
          <w:bCs/>
        </w:rPr>
        <w:t xml:space="preserve">Problema inclusione: </w:t>
      </w:r>
      <w:r w:rsidR="00095040">
        <w:t>e la post condizione come diventerebbe? La precondizione di visualizza?</w:t>
      </w:r>
    </w:p>
    <w:p w14:paraId="345EB7FD" w14:textId="77777777" w:rsidR="00095040" w:rsidRDefault="00095040"/>
    <w:p w14:paraId="15A40FDD" w14:textId="63EF56CF" w:rsidR="00095040" w:rsidRPr="00095040" w:rsidRDefault="00095040">
      <w:r w:rsidRPr="00654A2A">
        <w:rPr>
          <w:b/>
          <w:bCs/>
        </w:rPr>
        <w:t>Problema non inclusione</w:t>
      </w:r>
      <w:r>
        <w:t>:</w:t>
      </w:r>
      <w:r w:rsidR="00654A2A">
        <w:t xml:space="preserve"> Come passiamo i dati? La post condizione?</w:t>
      </w:r>
    </w:p>
    <w:p w14:paraId="2C786F6B" w14:textId="77777777" w:rsidR="002E097E" w:rsidRDefault="002E097E">
      <w:pPr>
        <w:rPr>
          <w:b/>
          <w:bCs/>
        </w:rPr>
      </w:pPr>
    </w:p>
    <w:p w14:paraId="1676F01B" w14:textId="77777777" w:rsidR="002E097E" w:rsidRDefault="002E097E">
      <w:pPr>
        <w:rPr>
          <w:b/>
          <w:bCs/>
        </w:rPr>
      </w:pPr>
    </w:p>
    <w:p w14:paraId="6F89B025" w14:textId="77777777" w:rsidR="002E097E" w:rsidRDefault="002E097E">
      <w:pPr>
        <w:rPr>
          <w:b/>
          <w:bCs/>
        </w:rPr>
      </w:pPr>
    </w:p>
    <w:p w14:paraId="3A6A07E1" w14:textId="77777777" w:rsidR="002E097E" w:rsidRDefault="002E097E">
      <w:pPr>
        <w:rPr>
          <w:b/>
          <w:bCs/>
        </w:rPr>
      </w:pPr>
    </w:p>
    <w:p w14:paraId="42B90308" w14:textId="77777777" w:rsidR="002E097E" w:rsidRDefault="002E097E">
      <w:pPr>
        <w:rPr>
          <w:b/>
          <w:bCs/>
        </w:rPr>
      </w:pPr>
    </w:p>
    <w:p w14:paraId="1FFB16F1" w14:textId="77777777" w:rsidR="002E097E" w:rsidRDefault="002E097E">
      <w:pPr>
        <w:rPr>
          <w:b/>
          <w:bCs/>
        </w:rPr>
      </w:pPr>
    </w:p>
    <w:p w14:paraId="1020F670" w14:textId="17321303" w:rsidR="002E097E" w:rsidRPr="002E097E" w:rsidRDefault="002E097E" w:rsidP="002E097E">
      <w:pPr>
        <w:jc w:val="center"/>
        <w:rPr>
          <w:b/>
          <w:bCs/>
          <w:sz w:val="36"/>
          <w:szCs w:val="36"/>
        </w:rPr>
      </w:pPr>
      <w:r w:rsidRPr="002E097E">
        <w:rPr>
          <w:b/>
          <w:bCs/>
          <w:sz w:val="36"/>
          <w:szCs w:val="36"/>
        </w:rPr>
        <w:t xml:space="preserve">Flusso degli eventi - </w:t>
      </w:r>
      <w:r>
        <w:rPr>
          <w:b/>
          <w:bCs/>
          <w:sz w:val="36"/>
          <w:szCs w:val="36"/>
        </w:rPr>
        <w:t>Visualizza Topic</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751E1610" w:rsidR="007B568C" w:rsidRDefault="002E097E">
            <w:r>
              <w:t>Visualizza Topic</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451EC0D6" w:rsidR="007B568C" w:rsidRDefault="00BA74CC">
            <w:r>
              <w:t>VIS_TPC</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5D4BC7D4" w:rsidR="007B568C" w:rsidRDefault="007B568C">
            <w:r>
              <w:t>Utente,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6E8C55E" w:rsidR="00BA74CC" w:rsidRDefault="007B568C" w:rsidP="00DA2AB6">
            <w:r>
              <w:t xml:space="preserve">Il sistema ha mostrato a video </w:t>
            </w:r>
            <w:r w:rsidR="00BA74CC">
              <w:t>la pagina del profilo dell’utente</w:t>
            </w: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02593491" w14:textId="47D8A19E" w:rsidR="00DA2AB6" w:rsidRDefault="00DA2AB6" w:rsidP="00BA74CC">
            <w:pPr>
              <w:pStyle w:val="Paragrafoelenco"/>
              <w:numPr>
                <w:ilvl w:val="0"/>
                <w:numId w:val="6"/>
              </w:numPr>
            </w:pPr>
          </w:p>
        </w:tc>
      </w:tr>
      <w:tr w:rsidR="007B568C" w14:paraId="3716179E" w14:textId="77777777" w:rsidTr="007B568C">
        <w:tc>
          <w:tcPr>
            <w:tcW w:w="4814" w:type="dxa"/>
          </w:tcPr>
          <w:p w14:paraId="0FBB91D9" w14:textId="281E3779" w:rsidR="007B568C" w:rsidRDefault="007B568C">
            <w:proofErr w:type="spellStart"/>
            <w:r>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6ECFAAD0" w14:textId="77777777" w:rsidR="007B568C" w:rsidRDefault="007B568C"/>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933961">
    <w:abstractNumId w:val="5"/>
  </w:num>
  <w:num w:numId="2" w16cid:durableId="248007553">
    <w:abstractNumId w:val="3"/>
  </w:num>
  <w:num w:numId="3" w16cid:durableId="452017128">
    <w:abstractNumId w:val="0"/>
  </w:num>
  <w:num w:numId="4" w16cid:durableId="526529922">
    <w:abstractNumId w:val="2"/>
  </w:num>
  <w:num w:numId="5" w16cid:durableId="62915882">
    <w:abstractNumId w:val="4"/>
  </w:num>
  <w:num w:numId="6" w16cid:durableId="110206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95040"/>
    <w:rsid w:val="000A6C88"/>
    <w:rsid w:val="0026227A"/>
    <w:rsid w:val="002E097E"/>
    <w:rsid w:val="003C32EE"/>
    <w:rsid w:val="00654A2A"/>
    <w:rsid w:val="00683598"/>
    <w:rsid w:val="006E25BA"/>
    <w:rsid w:val="007332AE"/>
    <w:rsid w:val="007B568C"/>
    <w:rsid w:val="008A19B5"/>
    <w:rsid w:val="00912DA0"/>
    <w:rsid w:val="00994D60"/>
    <w:rsid w:val="009A6E4E"/>
    <w:rsid w:val="00A95ECB"/>
    <w:rsid w:val="00AF118E"/>
    <w:rsid w:val="00BA74CC"/>
    <w:rsid w:val="00BB4490"/>
    <w:rsid w:val="00C06C64"/>
    <w:rsid w:val="00DA2AB6"/>
    <w:rsid w:val="00DB75DC"/>
    <w:rsid w:val="00E860EE"/>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097E"/>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817</Words>
  <Characters>4661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Susino</cp:lastModifiedBy>
  <cp:revision>9</cp:revision>
  <dcterms:created xsi:type="dcterms:W3CDTF">2025-05-02T07:38:00Z</dcterms:created>
  <dcterms:modified xsi:type="dcterms:W3CDTF">2025-05-03T10:12:00Z</dcterms:modified>
  <dc:language>it-IT</dc:language>
</cp:coreProperties>
</file>