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a6d2e"/>
          <w:spacing w:val="60"/>
          <w:sz w:val="22"/>
          <w:szCs w:val="22"/>
        </w:rPr>
        <w:t xml:space="preserve">DELTERIS</w:t>
      </w:r>
    </w:p>
    <w:p>
      <w:pPr>
        <w:spacing w:after="40"/>
      </w:pPr>
      <w:r>
        <w:rPr>
          <w:b/>
          <w:bCs/>
          <w:color w:val="1a2430"/>
          <w:sz w:val="34"/>
          <w:szCs w:val="34"/>
        </w:rPr>
        <w:t xml:space="preserve">Elenchon — On-Premise Welding Management Software</w:t>
      </w:r>
    </w:p>
    <w:p>
      <w:pPr>
        <w:spacing w:after="40"/>
      </w:pPr>
      <w:r>
        <w:rPr>
          <w:color w:val="5f6b7a"/>
          <w:sz w:val="24"/>
          <w:szCs w:val="24"/>
        </w:rPr>
        <w:t xml:space="preserve">Website Reference — delteris.com</w:t>
      </w:r>
    </w:p>
    <w:p>
      <w:pPr>
        <w:spacing w:after="120"/>
      </w:pPr>
      <w:r>
        <w:rPr>
          <w:i/>
          <w:iCs/>
          <w:color w:val="5f6b7a"/>
          <w:sz w:val="21"/>
          <w:szCs w:val="21"/>
        </w:rPr>
        <w:t xml:space="preserve">What the site is, what it claims, and the truths those claims must stay aligned to.</w:t>
      </w:r>
    </w:p>
    <w:p>
      <w:pPr>
        <w:pBdr>
          <w:bottom w:val="single" w:color="8a6d2e" w:sz="8" w:space="1"/>
        </w:pBdr>
        <w:spacing w:after="200" w:before="80"/>
      </w:pPr>
      <w:r>
        <w:t xml:space="preserve"/>
      </w:r>
    </w:p>
    <w:p>
      <w:pPr>
        <w:pStyle w:val="Heading1"/>
        <w:spacing w:after="140" w:before="320"/>
      </w:pPr>
      <w:r>
        <w:rPr>
          <w:b/>
          <w:bCs/>
          <w:color w:val="1a2430"/>
        </w:rPr>
        <w:t xml:space="preserve">1. What the site is</w:t>
      </w:r>
    </w:p>
    <w:p>
      <w:pPr>
        <w:spacing w:after="140" w:line="276"/>
      </w:pPr>
      <w:r>
        <w:t xml:space="preserve">The Delteris site is a fast, static Jekyll site on GitHub Pages presenting Elenchon as on-premise welding management software for fabrication shops. Its defining strength is that every advertised capability is backed by the application code — the marketing claims are verifiable in the Elenchon repository. That is rare in this field and is the foundation everything else builds on. The site is written to be true first and persuasive second; where the two ever conflict, truth wins, because the honesty </w:t>
      </w:r>
      <w:r>
        <w:rPr>
          <w:i/>
          <w:iCs/>
        </w:rPr>
        <w:t xml:space="preserve">is</w:t>
      </w:r>
      <w:r>
        <w:t xml:space="preserve"> the edge.</w:t>
      </w:r>
    </w:p>
    <w:p>
      <w:pPr>
        <w:spacing w:after="140" w:line="276"/>
      </w:pPr>
      <w:r>
        <w:t xml:space="preserve">It is organised as a topical cluster: a homepage, a platform overview, a traceability capstone that owns the head term, six capability pages, an honest on-premise-vs-cloud comparison, and the security, pricing, deployment and contact pages. Structured data (Organization, WebSite, SoftwareApplication, FAQPage, BreadcrumbList) sits on the money pages; a hand-written llms.txt summarises the product and full pricing for answer engines; robots.txt welcomes AI crawlers.</w:t>
      </w:r>
    </w:p>
    <w:p>
      <w:pPr>
        <w:spacing w:after="140" w:line="276"/>
      </w:pPr>
      <w:r>
        <w:t xml:space="preserve">The one-line positioning it can defend: </w:t>
      </w:r>
      <w:r>
        <w:rPr>
          <w:b/>
          <w:bCs/>
        </w:rPr>
        <w:t xml:space="preserve">the only welding-management platform that is on-premise by default, priced fully in the open, and secured with a zero-trust, post-quantum network — built by founders who have stood on the shop floor.</w:t>
      </w:r>
    </w:p>
    <w:p>
      <w:pPr>
        <w:pStyle w:val="Heading1"/>
        <w:spacing w:after="140" w:before="320"/>
      </w:pPr>
      <w:r>
        <w:rPr>
          <w:b/>
          <w:bCs/>
          <w:color w:val="1a2430"/>
        </w:rPr>
        <w:t xml:space="preserve">2. Claims and product truth</w:t>
      </w:r>
    </w:p>
    <w:p>
      <w:pPr>
        <w:spacing w:after="140" w:line="276"/>
      </w:pPr>
      <w:r>
        <w:t xml:space="preserve">The site's value is that it tells the truth, so the copy stays exactly aligned to the code. The load-bearing specifics:</w:t>
      </w:r>
    </w:p>
    <w:p>
      <w:pPr>
        <w:pStyle w:val="Heading2"/>
        <w:spacing w:after="100" w:before="240"/>
      </w:pPr>
      <w:r>
        <w:rPr>
          <w:b/>
          <w:bCs/>
          <w:color w:val="1a2430"/>
        </w:rPr>
        <w:t xml:space="preserve">Positioning and language</w:t>
      </w:r>
    </w:p>
    <w:p>
      <w:pPr>
        <w:pStyle w:val="ListParagraph"/>
        <w:numPr>
          <w:ilvl w:val="0"/>
          <w:numId w:val="1"/>
        </w:numPr>
        <w:spacing w:after="80" w:line="268"/>
      </w:pPr>
      <w:r>
        <w:rPr>
          <w:b/>
          <w:bCs/>
        </w:rPr>
        <w:t xml:space="preserve">Company-agnostic always. </w:t>
      </w:r>
      <w:r>
        <w:t xml:space="preserve">Never wind-tower / CSWind language in product, copy or code.</w:t>
      </w:r>
    </w:p>
    <w:p>
      <w:pPr>
        <w:pStyle w:val="ListParagraph"/>
        <w:numPr>
          <w:ilvl w:val="0"/>
          <w:numId w:val="1"/>
        </w:numPr>
        <w:spacing w:after="80" w:line="268"/>
      </w:pPr>
      <w:r>
        <w:t xml:space="preserve">The floor app is the </w:t>
      </w:r>
      <w:r>
        <w:rPr>
          <w:b/>
          <w:bCs/>
        </w:rPr>
        <w:t xml:space="preserve">workflow app</w:t>
      </w:r>
      <w:r>
        <w:t xml:space="preserve">. The old "shop-floor weld data capture software" phrasing is a search-term description on its own capability page, not the product's name; in product voice it is the workflow app.</w:t>
      </w:r>
    </w:p>
    <w:p>
      <w:pPr>
        <w:pStyle w:val="ListParagraph"/>
        <w:numPr>
          <w:ilvl w:val="0"/>
          <w:numId w:val="1"/>
        </w:numPr>
        <w:spacing w:after="80" w:line="268"/>
      </w:pPr>
      <w:r>
        <w:rPr>
          <w:b/>
          <w:bCs/>
        </w:rPr>
        <w:t xml:space="preserve">"Fit-up" </w:t>
      </w:r>
      <w:r>
        <w:t xml:space="preserve">is the correct trade term for joint alignment and is used as such — not "fitting."</w:t>
      </w:r>
    </w:p>
    <w:p>
      <w:pPr>
        <w:pStyle w:val="ListParagraph"/>
        <w:numPr>
          <w:ilvl w:val="0"/>
          <w:numId w:val="1"/>
        </w:numPr>
        <w:spacing w:after="80" w:line="268"/>
      </w:pPr>
      <w:r>
        <w:t xml:space="preserve">Built by </w:t>
      </w:r>
      <w:r>
        <w:rPr>
          <w:b/>
          <w:bCs/>
        </w:rPr>
        <w:t xml:space="preserve">founders</w:t>
      </w:r>
      <w:r>
        <w:t xml:space="preserve"> who have stood on the shop floor — not "engineers." The shop-floor founder is not an engineer; "our own engineers" is used only for the install/deployment work, where it is accurate.</w:t>
      </w:r>
    </w:p>
    <w:p>
      <w:pPr>
        <w:pStyle w:val="Heading2"/>
        <w:spacing w:after="100" w:before="240"/>
      </w:pPr>
      <w:r>
        <w:rPr>
          <w:b/>
          <w:bCs/>
          <w:color w:val="1a2430"/>
        </w:rPr>
        <w:t xml:space="preserve">What Elenchon does, stated accurately</w:t>
      </w:r>
    </w:p>
    <w:p>
      <w:pPr>
        <w:pStyle w:val="ListParagraph"/>
        <w:numPr>
          <w:ilvl w:val="0"/>
          <w:numId w:val="1"/>
        </w:numPr>
        <w:spacing w:after="80" w:line="268"/>
      </w:pPr>
      <w:r>
        <w:t xml:space="preserve">Compliance is </w:t>
      </w:r>
      <w:r>
        <w:rPr>
          <w:b/>
          <w:bCs/>
        </w:rPr>
        <w:t xml:space="preserve">evidence, not a produced report</w:t>
      </w:r>
      <w:r>
        <w:t xml:space="preserve">. Elenchon captures and attributes floor activity as it happens, so the data becomes the audit evidence codes such as ISO 3834, EN 1090 and ASME IX ask for. It does not generate or auto-submit compliance documents, and it does not emit a "ledger." The word "ledger" is not used; "automated compliance" is not claimed.</w:t>
      </w:r>
    </w:p>
    <w:p>
      <w:pPr>
        <w:pStyle w:val="ListParagraph"/>
        <w:numPr>
          <w:ilvl w:val="0"/>
          <w:numId w:val="1"/>
        </w:numPr>
        <w:spacing w:after="80" w:line="268"/>
      </w:pPr>
      <w:r>
        <w:t xml:space="preserve">Records are </w:t>
      </w:r>
      <w:r>
        <w:rPr>
          <w:b/>
          <w:bCs/>
        </w:rPr>
        <w:t xml:space="preserve">versioned and verified</w:t>
      </w:r>
      <w:r>
        <w:t xml:space="preserve"> as captured. Corrections are versioned too and stay visible to managers — the history is preserved, not frozen. This avoids any false append-only or "locked" claim while staying true to code that supersedes and logs.</w:t>
      </w:r>
    </w:p>
    <w:p>
      <w:pPr>
        <w:pStyle w:val="ListParagraph"/>
        <w:numPr>
          <w:ilvl w:val="0"/>
          <w:numId w:val="1"/>
        </w:numPr>
        <w:spacing w:after="80" w:line="268"/>
      </w:pPr>
      <w:r>
        <w:rPr>
          <w:b/>
          <w:bCs/>
        </w:rPr>
        <w:t xml:space="preserve">Into their paperwork, not ours. </w:t>
      </w:r>
      <w:r>
        <w:t xml:space="preserve">The one-click generator maps captured data into the client's own templates. There is no automated report engine.</w:t>
      </w:r>
    </w:p>
    <w:p>
      <w:pPr>
        <w:pStyle w:val="ListParagraph"/>
        <w:numPr>
          <w:ilvl w:val="0"/>
          <w:numId w:val="1"/>
        </w:numPr>
        <w:spacing w:after="80" w:line="268"/>
      </w:pPr>
      <w:r>
        <w:rPr>
          <w:b/>
          <w:bCs/>
        </w:rPr>
        <w:t xml:space="preserve">Offline capture </w:t>
      </w:r>
      <w:r>
        <w:t xml:space="preserve">is a paid Standard entitlement (the </w:t>
      </w:r>
      <w:r>
        <w:rPr>
          <w:i/>
          <w:iCs/>
        </w:rPr>
        <w:t xml:space="preserve">offline_capture</w:t>
      </w:r>
      <w:r>
        <w:t xml:space="preserve"> flag; Lite excludes it): a durable on-device queue that syncs on reconnect. The offline document viewer is on every plan. Maintenance requests are described as raisable offline — this is copy the workflow app must honour (the </w:t>
      </w:r>
      <w:r>
        <w:rPr>
          <w:i/>
          <w:iCs/>
        </w:rPr>
        <w:t xml:space="preserve">ReportIssue</w:t>
      </w:r>
      <w:r>
        <w:t xml:space="preserve"> queue).</w:t>
      </w:r>
    </w:p>
    <w:p>
      <w:pPr>
        <w:pStyle w:val="ListParagraph"/>
        <w:numPr>
          <w:ilvl w:val="0"/>
          <w:numId w:val="1"/>
        </w:numPr>
        <w:spacing w:after="80" w:line="268"/>
      </w:pPr>
      <w:r>
        <w:rPr>
          <w:b/>
          <w:bCs/>
        </w:rPr>
        <w:t xml:space="preserve">Maintenance hub: </w:t>
      </w:r>
      <w:r>
        <w:t xml:space="preserve">five priority levels (low, medium, high, critical, emergency), critical tiers gated to authorised roles. State it as five.</w:t>
      </w:r>
    </w:p>
    <w:p>
      <w:pPr>
        <w:pStyle w:val="ListParagraph"/>
        <w:numPr>
          <w:ilvl w:val="0"/>
          <w:numId w:val="1"/>
        </w:numPr>
        <w:spacing w:after="80" w:line="268"/>
      </w:pPr>
      <w:r>
        <w:rPr>
          <w:b/>
          <w:bCs/>
        </w:rPr>
        <w:t xml:space="preserve">Seat model: </w:t>
      </w:r>
      <w:r>
        <w:t xml:space="preserve">a generous included block (20 on Lite, 50 on Standard), then €9/month per additional worker in blocks of 10. Framed as included-then-fair-scaling, never "no per-seat," never bargain language.</w:t>
      </w:r>
    </w:p>
    <w:p>
      <w:pPr>
        <w:pStyle w:val="ListParagraph"/>
        <w:numPr>
          <w:ilvl w:val="0"/>
          <w:numId w:val="1"/>
        </w:numPr>
        <w:spacing w:after="80" w:line="268"/>
      </w:pPr>
      <w:r>
        <w:t xml:space="preserve">Security wording is precise, not hyperbolic: </w:t>
      </w:r>
      <w:r>
        <w:rPr>
          <w:b/>
          <w:bCs/>
        </w:rPr>
        <w:t xml:space="preserve">"zero-trust, post-quantum" throughout; no "military-grade."</w:t>
      </w:r>
    </w:p>
    <w:p>
      <w:pPr>
        <w:pStyle w:val="ListParagraph"/>
        <w:numPr>
          <w:ilvl w:val="0"/>
          <w:numId w:val="1"/>
        </w:numPr>
        <w:spacing w:after="80" w:line="268"/>
      </w:pPr>
      <w:r>
        <w:rPr>
          <w:b/>
          <w:bCs/>
        </w:rPr>
        <w:t xml:space="preserve">NDT: </w:t>
      </w:r>
      <w:r>
        <w:t xml:space="preserve">deep, granular NDT tracking is a genuine </w:t>
      </w:r>
      <w:r>
        <w:rPr>
          <w:i/>
          <w:iCs/>
        </w:rPr>
        <w:t xml:space="preserve">upcoming</w:t>
      </w:r>
      <w:r>
        <w:t xml:space="preserve"> item — a roadmap line only, never a Standard feature. "Coming soon" means it is not there.</w:t>
      </w:r>
    </w:p>
    <w:p>
      <w:pPr>
        <w:pStyle w:val="Heading1"/>
        <w:spacing w:after="140" w:before="320"/>
      </w:pPr>
      <w:r>
        <w:rPr>
          <w:b/>
          <w:bCs/>
          <w:color w:val="1a2430"/>
        </w:rPr>
        <w:t xml:space="preserve">3. The Phrakton truth — access and uptime</w:t>
      </w:r>
    </w:p>
    <w:p>
      <w:pPr>
        <w:spacing w:after="140" w:line="276"/>
      </w:pPr>
      <w:r>
        <w:t xml:space="preserve">Every connection to the appliance — remote </w:t>
      </w:r>
      <w:r>
        <w:rPr>
          <w:i/>
          <w:iCs/>
        </w:rPr>
        <w:t xml:space="preserve">and on-LAN</w:t>
      </w:r>
      <w:r>
        <w:t xml:space="preserve"> — travels the Phrakton fabric. The path is: worker → tenant-router → box-router → </w:t>
      </w:r>
      <w:r>
        <w:rPr>
          <w:b/>
          <w:bCs/>
        </w:rPr>
        <w:t xml:space="preserve">boxctl tunneler</w:t>
      </w:r>
      <w:r>
        <w:t xml:space="preserve"> → Caddy → apps. All three encryption layers (Link TLS, Ziti E2E, App TLS) reach the tunneler; the tunneler unwraps Link TLS and Ziti E2E and splices only App TLS to Caddy, which terminates it. This matches the hosting compose (</w:t>
      </w:r>
      <w:r>
        <w:rPr>
          <w:i/>
          <w:iCs/>
        </w:rPr>
        <w:t xml:space="preserve">intercept :443 → boxctl splice → caddy:443</w:t>
      </w:r>
      <w:r>
        <w:t xml:space="preserve">). The security-page diagram reflects exactly this.</w:t>
      </w:r>
    </w:p>
    <w:p>
      <w:pPr>
        <w:spacing w:after="140" w:line="276"/>
      </w:pPr>
      <w:r>
        <w:t xml:space="preserve">Because the fabric is the access path, </w:t>
      </w:r>
      <w:r>
        <w:rPr>
          <w:b/>
          <w:bCs/>
        </w:rPr>
        <w:t xml:space="preserve">if Phrakton is down the app is unreachable</w:t>
      </w:r>
      <w:r>
        <w:t xml:space="preserve">. The site must not claim the floor keeps working through a fabric outage. Offline </w:t>
      </w:r>
      <w:r>
        <w:rPr>
          <w:i/>
          <w:iCs/>
        </w:rPr>
        <w:t xml:space="preserve">capture</w:t>
      </w:r>
      <w:r>
        <w:t xml:space="preserve"> surviving a connection </w:t>
      </w:r>
      <w:r>
        <w:rPr>
          <w:i/>
          <w:iCs/>
        </w:rPr>
        <w:t xml:space="preserve">drop</w:t>
      </w:r>
      <w:r>
        <w:t xml:space="preserve"> is a separate, true thing and is kept distinct. The uptime section is a comfort section, not a hedge: we run the fabric, commit to 99.9% and engineer for as near 100% as possible, backed by automatic credits — with no entangled offline-during-outage claim.</w:t>
      </w:r>
    </w:p>
    <w:p>
      <w:pPr>
        <w:pStyle w:val="Heading1"/>
        <w:spacing w:after="140" w:before="320"/>
      </w:pPr>
      <w:r>
        <w:rPr>
          <w:b/>
          <w:bCs/>
          <w:color w:val="1a2430"/>
        </w:rPr>
        <w:t xml:space="preserve">4. Pricing and billing</w:t>
      </w:r>
    </w:p>
    <w:p>
      <w:pPr>
        <w:pStyle w:val="ListParagraph"/>
        <w:numPr>
          <w:ilvl w:val="0"/>
          <w:numId w:val="1"/>
        </w:numPr>
        <w:spacing w:after="80" w:line="268"/>
      </w:pPr>
      <w:r>
        <w:t xml:space="preserve">Lite €390/month (20 workers), Standard €790/month (50 workers) — flat per appliance, excluding VAT. Extra workers €9/month.</w:t>
      </w:r>
    </w:p>
    <w:p>
      <w:pPr>
        <w:pStyle w:val="ListParagraph"/>
        <w:numPr>
          <w:ilvl w:val="0"/>
          <w:numId w:val="1"/>
        </w:numPr>
        <w:spacing w:after="80" w:line="268"/>
      </w:pPr>
      <w:r>
        <w:rPr>
          <w:b/>
          <w:bCs/>
        </w:rPr>
        <w:t xml:space="preserve">Billing is honest and monthly. </w:t>
      </w:r>
      <w:r>
        <w:t xml:space="preserve">Nothing is charged at deployment except installation and training. The subscription begins after go-live; the first monthly invoice falls on the 1st or the 15th, whichever is furthest from go-live. Twelve invoices a year — no 28-day cycles, no thirteenth invoice.</w:t>
      </w:r>
    </w:p>
    <w:p>
      <w:pPr>
        <w:pStyle w:val="ListParagraph"/>
        <w:numPr>
          <w:ilvl w:val="0"/>
          <w:numId w:val="1"/>
        </w:numPr>
        <w:spacing w:after="80" w:line="268"/>
      </w:pPr>
      <w:r>
        <w:t xml:space="preserve">The homepage reveal leads with the </w:t>
      </w:r>
      <w:r>
        <w:rPr>
          <w:b/>
          <w:bCs/>
        </w:rPr>
        <w:t xml:space="preserve">all-in, VAT-included figure</w:t>
      </w:r>
      <w:r>
        <w:t xml:space="preserve"> as an honesty flex, not a ceiling: under €1,000/month with VAT already in, where the industry hides price behind a sales call. It is not framed as a final total (remote access, seats and hardware add to it) — it is framed as transparency.</w:t>
      </w:r>
    </w:p>
    <w:p>
      <w:pPr>
        <w:pStyle w:val="ListParagraph"/>
        <w:numPr>
          <w:ilvl w:val="0"/>
          <w:numId w:val="1"/>
        </w:numPr>
        <w:spacing w:after="80" w:line="268"/>
      </w:pPr>
      <w:r>
        <w:t xml:space="preserve">Deployment transport is </w:t>
      </w:r>
      <w:r>
        <w:rPr>
          <w:b/>
          <w:bCs/>
        </w:rPr>
        <w:t xml:space="preserve">free nationally</w:t>
      </w:r>
      <w:r>
        <w:t xml:space="preserve">; it is folded into the package and pitched as free. International and out-of-range sites do not get free transport — a single custom travel fee, quoted up front, replaces it. The €150 commute fee applies only to standalone visits.</w:t>
      </w:r>
    </w:p>
    <w:p>
      <w:pPr>
        <w:pStyle w:val="ListParagraph"/>
        <w:numPr>
          <w:ilvl w:val="0"/>
          <w:numId w:val="1"/>
        </w:numPr>
        <w:spacing w:after="80" w:line="268"/>
      </w:pPr>
      <w:r>
        <w:rPr>
          <w:b/>
          <w:bCs/>
        </w:rPr>
        <w:t xml:space="preserve">Data migration </w:t>
      </w:r>
      <w:r>
        <w:t xml:space="preserve">is a bespoke, by-selective-request, custom-quoted add-on, accepted at Delteris's discretion. The recommended path is that clients enter their own projects and WPS/PQR library. Never a straight-data-entry promise.</w:t>
      </w:r>
    </w:p>
    <w:p>
      <w:pPr>
        <w:pStyle w:val="ListParagraph"/>
        <w:numPr>
          <w:ilvl w:val="0"/>
          <w:numId w:val="1"/>
        </w:numPr>
        <w:spacing w:after="80" w:line="268"/>
      </w:pPr>
      <w:r>
        <w:rPr>
          <w:b/>
          <w:bCs/>
        </w:rPr>
        <w:t xml:space="preserve">Security consulting stands alone: </w:t>
      </w:r>
      <w:r>
        <w:t xml:space="preserve">network and post-quantum consulting do not require running Elenchon and are open to any organisation.</w:t>
      </w:r>
    </w:p>
    <w:p>
      <w:pPr>
        <w:pStyle w:val="ListParagraph"/>
        <w:numPr>
          <w:ilvl w:val="0"/>
          <w:numId w:val="1"/>
        </w:numPr>
        <w:spacing w:after="80" w:line="268"/>
      </w:pPr>
      <w:r>
        <w:t xml:space="preserve">Every add-on, one-time fee and uptime credit is published in plain euros. Keep the pricing page flawless on mobile.</w:t>
      </w:r>
    </w:p>
    <w:p>
      <w:pPr>
        <w:pStyle w:val="Heading1"/>
        <w:spacing w:after="140" w:before="320"/>
      </w:pPr>
      <w:r>
        <w:rPr>
          <w:b/>
          <w:bCs/>
          <w:color w:val="1a2430"/>
        </w:rPr>
        <w:t xml:space="preserve">5. Boundaries and honest answers</w:t>
      </w:r>
    </w:p>
    <w:p>
      <w:pPr>
        <w:pStyle w:val="ListParagraph"/>
        <w:numPr>
          <w:ilvl w:val="0"/>
          <w:numId w:val="1"/>
        </w:numPr>
        <w:spacing w:after="80" w:line="268"/>
      </w:pPr>
      <w:r>
        <w:rPr>
          <w:b/>
          <w:bCs/>
        </w:rPr>
        <w:t xml:space="preserve">One appliance runs one facility. </w:t>
      </w:r>
      <w:r>
        <w:t xml:space="preserve">A full factory gets its own appliance — for sovereignty (isolated, separately backed up) and for the practical mess of stretching one box across sites. The one exception: a genuinely small satellite operation may, at Delteris's discretion, run fully remote off an existing appliance. Project-specific, seasonal or field work is not a satellite operation and is covered by the Remote Access Module.</w:t>
      </w:r>
    </w:p>
    <w:p>
      <w:pPr>
        <w:pStyle w:val="ListParagraph"/>
        <w:numPr>
          <w:ilvl w:val="0"/>
          <w:numId w:val="1"/>
        </w:numPr>
        <w:spacing w:after="80" w:line="268"/>
      </w:pPr>
      <w:r>
        <w:rPr>
          <w:b/>
          <w:bCs/>
        </w:rPr>
        <w:t xml:space="preserve">Data sovereignty is framed as a mandate, not just protection: </w:t>
      </w:r>
      <w:r>
        <w:t xml:space="preserve">EU directives such as NIS2 push manufacturers toward demonstrable control over access, encryption and supply-chain exposure. On-premise answers that.</w:t>
      </w:r>
    </w:p>
    <w:p>
      <w:pPr>
        <w:pStyle w:val="ListParagraph"/>
        <w:numPr>
          <w:ilvl w:val="0"/>
          <w:numId w:val="1"/>
        </w:numPr>
        <w:spacing w:after="80" w:line="268"/>
      </w:pPr>
      <w:r>
        <w:t xml:space="preserve">On cancellation: no lock-in, no exit fee, view-only access to historical records retained.</w:t>
      </w:r>
    </w:p>
    <w:p>
      <w:pPr>
        <w:pStyle w:val="ListParagraph"/>
        <w:numPr>
          <w:ilvl w:val="0"/>
          <w:numId w:val="1"/>
        </w:numPr>
        <w:spacing w:after="80" w:line="268"/>
      </w:pPr>
      <w:r>
        <w:t xml:space="preserve">BOM import: from Tekla or </w:t>
      </w:r>
      <w:r>
        <w:rPr>
          <w:i/>
          <w:iCs/>
        </w:rPr>
        <w:t xml:space="preserve">most</w:t>
      </w:r>
      <w:r>
        <w:t xml:space="preserve"> CAD packages (not "any") — column mapping is adjustable by hand at import, so unrecognised formats still go in.</w:t>
      </w:r>
    </w:p>
    <w:p>
      <w:pPr>
        <w:pStyle w:val="Heading1"/>
        <w:spacing w:after="140" w:before="320"/>
      </w:pPr>
      <w:r>
        <w:rPr>
          <w:b/>
          <w:bCs/>
          <w:color w:val="1a2430"/>
        </w:rPr>
        <w:t xml:space="preserve">6. FAQ discipline</w:t>
      </w:r>
    </w:p>
    <w:p>
      <w:pPr>
        <w:spacing w:after="140" w:line="276"/>
      </w:pPr>
      <w:r>
        <w:t xml:space="preserve">Every FAQ answers a question a competent buyer actually has — not a softball that exists to hold a keyword. Yes/no questions whose answer is obvious are steelmanned into the real underlying question (scope, trade-offs, capability), never left as "do you really have the feature you claim." Redundant questions that merely restate copy already on the page are removed; the per-page "What is X software?" definition earns its place as the extractable SEO answer and sits at the trailing end. "Is on-premise a downside?" questions handle the objection rather than restating that it is on-premise.</w:t>
      </w:r>
    </w:p>
    <w:p>
      <w:pPr>
        <w:pStyle w:val="Heading1"/>
        <w:spacing w:after="140" w:before="320"/>
      </w:pPr>
      <w:r>
        <w:rPr>
          <w:b/>
          <w:bCs/>
          <w:color w:val="1a2430"/>
        </w:rPr>
        <w:t xml:space="preserve">7. Design and the gold accent</w:t>
      </w:r>
    </w:p>
    <w:p>
      <w:pPr>
        <w:spacing w:after="140" w:line="276"/>
      </w:pPr>
      <w:r>
        <w:t xml:space="preserve">A single metallic-gold accent per page — a spotlight, never decoration. It is ornament only: never on text, buttons or links, which stay blue so gold never competes with an action. Gold lettering is reserved for the future Premium tier. The accent is a hairline plus a short fog on the card's own rim; its corner radius is set 1px tighter than the card (the overlay sits inside the border) so the gold follows the corner with no dark "void."</w:t>
      </w:r>
    </w:p>
    <w:p>
      <w:pPr>
        <w:pStyle w:val="ListParagraph"/>
        <w:numPr>
          <w:ilvl w:val="0"/>
          <w:numId w:val="1"/>
        </w:numPr>
        <w:spacing w:after="80" w:line="268"/>
      </w:pPr>
      <w:r>
        <w:rPr>
          <w:b/>
          <w:bCs/>
        </w:rPr>
        <w:t xml:space="preserve">Money pages (homepage, pricing): </w:t>
      </w:r>
      <w:r>
        <w:t xml:space="preserve">gold marks the price — the plans box and the Standard tier card.</w:t>
      </w:r>
    </w:p>
    <w:p>
      <w:pPr>
        <w:pStyle w:val="ListParagraph"/>
        <w:numPr>
          <w:ilvl w:val="0"/>
          <w:numId w:val="1"/>
        </w:numPr>
        <w:spacing w:after="80" w:line="268"/>
      </w:pPr>
      <w:r>
        <w:rPr>
          <w:b/>
          <w:bCs/>
        </w:rPr>
        <w:t xml:space="preserve">Landing / SEO pages: </w:t>
      </w:r>
      <w:r>
        <w:t xml:space="preserve">gold marks the audit/compliance proof panel — the QC buyer's "will this hold up in an audit?" is the fear a trust signal answers.</w:t>
      </w:r>
    </w:p>
    <w:p>
      <w:pPr>
        <w:pStyle w:val="ListParagraph"/>
        <w:numPr>
          <w:ilvl w:val="0"/>
          <w:numId w:val="1"/>
        </w:numPr>
        <w:spacing w:after="80" w:line="268"/>
      </w:pPr>
      <w:r>
        <w:rPr>
          <w:b/>
          <w:bCs/>
        </w:rPr>
        <w:t xml:space="preserve">Deployment page: </w:t>
      </w:r>
      <w:r>
        <w:t xml:space="preserve">gold marks the separator above the final CTA — the one conversion moment on the page.</w:t>
      </w:r>
    </w:p>
    <w:p>
      <w:pPr>
        <w:pStyle w:val="ListParagraph"/>
        <w:numPr>
          <w:ilvl w:val="0"/>
          <w:numId w:val="1"/>
        </w:numPr>
        <w:spacing w:after="80" w:line="268"/>
      </w:pPr>
      <w:r>
        <w:rPr>
          <w:b/>
          <w:bCs/>
        </w:rPr>
        <w:t xml:space="preserve">Other utility pages (platform, security, contact): </w:t>
      </w:r>
      <w:r>
        <w:t xml:space="preserve">no gold, by design.</w:t>
      </w:r>
    </w:p>
    <w:p>
      <w:pPr>
        <w:pStyle w:val="Heading1"/>
        <w:spacing w:after="140" w:before="320"/>
      </w:pPr>
      <w:r>
        <w:rPr>
          <w:b/>
          <w:bCs/>
          <w:color w:val="1a2430"/>
        </w:rPr>
        <w:t xml:space="preserve">8. SEO &amp; GEO posture</w:t>
      </w:r>
    </w:p>
    <w:p>
      <w:pPr>
        <w:spacing w:after="140" w:line="276"/>
      </w:pPr>
      <w:r>
        <w:t xml:space="preserve">Titles ≤60 characters, keyword-first, brand last; meta descriptions ~155 characters, value front-loaded. Every pillar and comparison page opens with a bolded, self-contained one-sentence definition — the answer engines lift verbatim. Descriptive, keyworded anchor text throughout; internal links form one cluster (capstone ↔ pillars ↔ comparison). Sitemap via jekyll-sitemap; robots.txt allows GPTBot, ClaudeBot, PerplexityBot and peers; llms.txt carries the product summary and full pricing and is updated with every pricing or feature change.</w:t>
      </w:r>
    </w:p>
    <w:p>
      <w:pPr>
        <w:spacing w:after="140" w:line="276"/>
      </w:pPr>
      <w:r>
        <w:t xml:space="preserve">The head term "welding management software" is a traffic-and-authority ceiling held by mature incumbents and directories — an off-page, cumulative climb (directory listings, real backlinks, an honest engineering post, time, and Search Console verification), not an on-page defect. The on-page signal is already as strong as it can be.</w:t>
      </w:r>
    </w:p>
    <w:p>
      <w:pPr>
        <w:pStyle w:val="Heading1"/>
        <w:spacing w:after="140" w:before="320"/>
      </w:pPr>
      <w:r>
        <w:rPr>
          <w:b/>
          <w:bCs/>
          <w:color w:val="1a2430"/>
        </w:rPr>
        <w:t xml:space="preserve">9. Competitive field</w:t>
      </w:r>
    </w:p>
    <w:p>
      <w:pPr>
        <w:spacing w:after="140" w:line="276"/>
      </w:pPr>
      <w:r>
        <w:t xml:space="preserve">The mature names are feature-rich but share one structural blind spot: none is on-premise by default, none publishes complete pricing, and none has a real security architecture. Elenchon answers all three at once, truthfully — that is the pedestal, and it is made of facts. The regulatory tailwind (EU NIS2) favours an on-premise appliance with zero-trust access and local backups, alongside the ISO 3834 / EN 1090 / ASME IX quality-code story. Competitor copy names no names and cites no figures; the sharpest jab used is the true, structural one — the industry hides its price behind a sales call.</w:t>
      </w:r>
    </w:p>
    <w:p>
      <w:pPr>
        <w:pBdr>
          <w:bottom w:val="single" w:color="8a6d2e" w:sz="8" w:space="1"/>
        </w:pBdr>
        <w:spacing w:after="200" w:before="80"/>
      </w:pPr>
      <w:r>
        <w:t xml:space="preserve"/>
      </w:r>
    </w:p>
    <w:p>
      <w:pPr>
        <w:spacing w:after="60"/>
      </w:pPr>
      <w:r>
        <w:rPr>
          <w:b/>
          <w:bCs/>
        </w:rPr>
        <w:t xml:space="preserve">Bottom line. </w:t>
      </w:r>
      <w:r>
        <w:t xml:space="preserve">The site is honest, fast, technically ahead of the field, and reads as a premium, coherent whole — a topical cluster that owns its terms, priced in the open, with a single gold accent per page pointing each visitor at the moment that converts them. Its edge is the same as it has always been: every claim is true, and stays true because the code backs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2430"/>
      <w:sz w:val="30"/>
      <w:szCs w:val="30"/>
    </w:rPr>
  </w:style>
  <w:style w:type="paragraph" w:styleId="Heading2">
    <w:name w:val="Heading 2"/>
    <w:basedOn w:val="Normal"/>
    <w:next w:val="Normal"/>
    <w:qFormat/>
    <w:rPr>
      <w:rFonts w:ascii="Calibri" w:cs="Calibri" w:eastAsia="Calibri" w:hAnsi="Calibri"/>
      <w:b/>
      <w:bCs/>
      <w:color w:val="1a24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Elenchon — Website Reference</dc:title>
  <dc:creator>Delteris</dc:creator>
  <cp:lastModifiedBy>Un-named</cp:lastModifiedBy>
  <cp:revision>1</cp:revision>
  <dcterms:created xsi:type="dcterms:W3CDTF">2026-07-30T21:19:05.822Z</dcterms:created>
  <dcterms:modified xsi:type="dcterms:W3CDTF">2026-07-30T21:19:05.822Z</dcterms:modified>
</cp:coreProperties>
</file>

<file path=docProps/custom.xml><?xml version="1.0" encoding="utf-8"?>
<Properties xmlns="http://schemas.openxmlformats.org/officeDocument/2006/custom-properties" xmlns:vt="http://schemas.openxmlformats.org/officeDocument/2006/docPropsVTypes"/>
</file>