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B59E" w14:textId="77777777" w:rsidR="00DF13F3" w:rsidRDefault="00DF13F3" w:rsidP="00DF13F3"/>
    <w:p w14:paraId="2B401F8E" w14:textId="77777777" w:rsidR="00DF13F3" w:rsidRDefault="00DF13F3" w:rsidP="00DF13F3">
      <w:pPr>
        <w:jc w:val="center"/>
        <w:rPr>
          <w:i/>
          <w:iCs/>
          <w:sz w:val="36"/>
          <w:szCs w:val="36"/>
        </w:rPr>
      </w:pPr>
      <w:r w:rsidRPr="002843FA">
        <w:rPr>
          <w:i/>
          <w:iCs/>
          <w:sz w:val="36"/>
          <w:szCs w:val="36"/>
        </w:rPr>
        <w:t>Cahier des charges</w:t>
      </w:r>
    </w:p>
    <w:p w14:paraId="5607440E" w14:textId="77777777" w:rsidR="00DF13F3" w:rsidRPr="002843FA" w:rsidRDefault="00DF13F3" w:rsidP="00DF13F3">
      <w:pPr>
        <w:jc w:val="center"/>
        <w:rPr>
          <w:i/>
          <w:iCs/>
          <w:sz w:val="36"/>
          <w:szCs w:val="36"/>
        </w:rPr>
      </w:pPr>
    </w:p>
    <w:p w14:paraId="5F251239" w14:textId="5E9D9B5D" w:rsidR="00DF13F3" w:rsidRDefault="00DF13F3" w:rsidP="00DF13F3">
      <w:pPr>
        <w:pStyle w:val="Title"/>
        <w:jc w:val="center"/>
      </w:pPr>
      <w:r>
        <w:t>Partie 2</w:t>
      </w:r>
    </w:p>
    <w:p w14:paraId="6FCABEA3" w14:textId="2AA1AF1B" w:rsidR="00DF13F3" w:rsidRPr="00DF13F3" w:rsidRDefault="00DF13F3" w:rsidP="00DF13F3">
      <w:pPr>
        <w:pStyle w:val="Title"/>
        <w:jc w:val="center"/>
        <w:rPr>
          <w:b/>
          <w:bCs/>
        </w:rPr>
      </w:pPr>
      <w:r w:rsidRPr="00DF13F3">
        <w:rPr>
          <w:b/>
          <w:bCs/>
        </w:rPr>
        <w:t xml:space="preserve">Analyse </w:t>
      </w:r>
      <w:r w:rsidR="003A512F">
        <w:rPr>
          <w:b/>
          <w:bCs/>
        </w:rPr>
        <w:t>des enzymes de méthylation</w:t>
      </w:r>
      <w:r w:rsidRPr="00DF13F3">
        <w:rPr>
          <w:b/>
          <w:bCs/>
        </w:rPr>
        <w:t xml:space="preserve"> dans le cancer du sein</w:t>
      </w:r>
      <w:r w:rsidR="003A512F">
        <w:rPr>
          <w:b/>
          <w:bCs/>
        </w:rPr>
        <w:t xml:space="preserve"> métastatique</w:t>
      </w:r>
    </w:p>
    <w:p w14:paraId="50006ACD" w14:textId="77777777" w:rsidR="00DF13F3" w:rsidRPr="00BD7347" w:rsidRDefault="00DF13F3" w:rsidP="00DF13F3"/>
    <w:p w14:paraId="3B0E106B" w14:textId="77777777" w:rsidR="00DF13F3" w:rsidRPr="002843FA" w:rsidRDefault="00DF13F3" w:rsidP="00DF13F3"/>
    <w:p w14:paraId="25989976" w14:textId="77777777" w:rsidR="00DF13F3" w:rsidRDefault="00DF13F3" w:rsidP="00DF13F3">
      <w:pPr>
        <w:jc w:val="center"/>
      </w:pPr>
      <w:r>
        <w:t>Ekaterina Flin</w:t>
      </w:r>
    </w:p>
    <w:p w14:paraId="6A440D5F" w14:textId="39C922E5" w:rsidR="00DF13F3" w:rsidRDefault="00DF13F3" w:rsidP="00DF13F3">
      <w:pPr>
        <w:jc w:val="center"/>
      </w:pPr>
      <w:r>
        <w:t>1</w:t>
      </w:r>
      <w:r w:rsidR="0062282A">
        <w:t>7</w:t>
      </w:r>
      <w:r>
        <w:t>/02/2024</w:t>
      </w:r>
    </w:p>
    <w:p w14:paraId="39C09F2D" w14:textId="2DA75AD0" w:rsidR="00CF5C99" w:rsidRDefault="00CF5C99" w:rsidP="00DF13F3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744377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3CFFA3" w14:textId="7B0D72A7" w:rsidR="00CF5C99" w:rsidRDefault="00035073">
          <w:pPr>
            <w:pStyle w:val="TOCHeading"/>
          </w:pPr>
          <w:r>
            <w:t>Table des matières</w:t>
          </w:r>
        </w:p>
        <w:p w14:paraId="5A7F65B2" w14:textId="0AA51E6D" w:rsidR="002412BB" w:rsidRDefault="00CF5C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073479" w:history="1">
            <w:r w:rsidR="002412BB" w:rsidRPr="007301BC">
              <w:rPr>
                <w:rStyle w:val="Hyperlink"/>
                <w:noProof/>
              </w:rPr>
              <w:t>Evaluer le risque de métastases dans les échantillons du cancer du sein</w:t>
            </w:r>
            <w:r w:rsidR="002412BB">
              <w:rPr>
                <w:noProof/>
                <w:webHidden/>
              </w:rPr>
              <w:tab/>
            </w:r>
            <w:r w:rsidR="002412BB">
              <w:rPr>
                <w:noProof/>
                <w:webHidden/>
              </w:rPr>
              <w:fldChar w:fldCharType="begin"/>
            </w:r>
            <w:r w:rsidR="002412BB">
              <w:rPr>
                <w:noProof/>
                <w:webHidden/>
              </w:rPr>
              <w:instrText xml:space="preserve"> PAGEREF _Toc159073479 \h </w:instrText>
            </w:r>
            <w:r w:rsidR="002412BB">
              <w:rPr>
                <w:noProof/>
                <w:webHidden/>
              </w:rPr>
            </w:r>
            <w:r w:rsidR="002412BB">
              <w:rPr>
                <w:noProof/>
                <w:webHidden/>
              </w:rPr>
              <w:fldChar w:fldCharType="separate"/>
            </w:r>
            <w:r w:rsidR="002412BB">
              <w:rPr>
                <w:noProof/>
                <w:webHidden/>
              </w:rPr>
              <w:t>1</w:t>
            </w:r>
            <w:r w:rsidR="002412BB">
              <w:rPr>
                <w:noProof/>
                <w:webHidden/>
              </w:rPr>
              <w:fldChar w:fldCharType="end"/>
            </w:r>
          </w:hyperlink>
        </w:p>
        <w:p w14:paraId="646D339B" w14:textId="4F6C16F0" w:rsidR="002412BB" w:rsidRDefault="005455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9073480" w:history="1">
            <w:r w:rsidR="002412BB" w:rsidRPr="007301BC">
              <w:rPr>
                <w:rStyle w:val="Hyperlink"/>
                <w:noProof/>
              </w:rPr>
              <w:t>Signature GEC</w:t>
            </w:r>
            <w:r w:rsidR="002412BB">
              <w:rPr>
                <w:noProof/>
                <w:webHidden/>
              </w:rPr>
              <w:tab/>
            </w:r>
            <w:r w:rsidR="002412BB">
              <w:rPr>
                <w:noProof/>
                <w:webHidden/>
              </w:rPr>
              <w:fldChar w:fldCharType="begin"/>
            </w:r>
            <w:r w:rsidR="002412BB">
              <w:rPr>
                <w:noProof/>
                <w:webHidden/>
              </w:rPr>
              <w:instrText xml:space="preserve"> PAGEREF _Toc159073480 \h </w:instrText>
            </w:r>
            <w:r w:rsidR="002412BB">
              <w:rPr>
                <w:noProof/>
                <w:webHidden/>
              </w:rPr>
            </w:r>
            <w:r w:rsidR="002412BB">
              <w:rPr>
                <w:noProof/>
                <w:webHidden/>
              </w:rPr>
              <w:fldChar w:fldCharType="separate"/>
            </w:r>
            <w:r w:rsidR="002412BB">
              <w:rPr>
                <w:noProof/>
                <w:webHidden/>
              </w:rPr>
              <w:t>1</w:t>
            </w:r>
            <w:r w:rsidR="002412BB">
              <w:rPr>
                <w:noProof/>
                <w:webHidden/>
              </w:rPr>
              <w:fldChar w:fldCharType="end"/>
            </w:r>
          </w:hyperlink>
        </w:p>
        <w:p w14:paraId="4C61A842" w14:textId="07440057" w:rsidR="002412BB" w:rsidRDefault="0054553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9073481" w:history="1">
            <w:r w:rsidR="002412BB" w:rsidRPr="007301BC">
              <w:rPr>
                <w:rStyle w:val="Hyperlink"/>
                <w:noProof/>
              </w:rPr>
              <w:t>Identifier les enzymes de méthylation activés dans le cancer métastatique</w:t>
            </w:r>
            <w:r w:rsidR="002412BB">
              <w:rPr>
                <w:noProof/>
                <w:webHidden/>
              </w:rPr>
              <w:tab/>
            </w:r>
            <w:r w:rsidR="002412BB">
              <w:rPr>
                <w:noProof/>
                <w:webHidden/>
              </w:rPr>
              <w:fldChar w:fldCharType="begin"/>
            </w:r>
            <w:r w:rsidR="002412BB">
              <w:rPr>
                <w:noProof/>
                <w:webHidden/>
              </w:rPr>
              <w:instrText xml:space="preserve"> PAGEREF _Toc159073481 \h </w:instrText>
            </w:r>
            <w:r w:rsidR="002412BB">
              <w:rPr>
                <w:noProof/>
                <w:webHidden/>
              </w:rPr>
            </w:r>
            <w:r w:rsidR="002412BB">
              <w:rPr>
                <w:noProof/>
                <w:webHidden/>
              </w:rPr>
              <w:fldChar w:fldCharType="separate"/>
            </w:r>
            <w:r w:rsidR="002412BB">
              <w:rPr>
                <w:noProof/>
                <w:webHidden/>
              </w:rPr>
              <w:t>4</w:t>
            </w:r>
            <w:r w:rsidR="002412BB">
              <w:rPr>
                <w:noProof/>
                <w:webHidden/>
              </w:rPr>
              <w:fldChar w:fldCharType="end"/>
            </w:r>
          </w:hyperlink>
        </w:p>
        <w:p w14:paraId="5980DBD8" w14:textId="13E364A6" w:rsidR="002412BB" w:rsidRDefault="005455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9073482" w:history="1">
            <w:r w:rsidR="002412BB" w:rsidRPr="007301BC">
              <w:rPr>
                <w:rStyle w:val="Hyperlink"/>
                <w:noProof/>
              </w:rPr>
              <w:t>Dans les données d’expression totale (8 datasets)</w:t>
            </w:r>
            <w:r w:rsidR="002412BB">
              <w:rPr>
                <w:noProof/>
                <w:webHidden/>
              </w:rPr>
              <w:tab/>
            </w:r>
            <w:r w:rsidR="002412BB">
              <w:rPr>
                <w:noProof/>
                <w:webHidden/>
              </w:rPr>
              <w:fldChar w:fldCharType="begin"/>
            </w:r>
            <w:r w:rsidR="002412BB">
              <w:rPr>
                <w:noProof/>
                <w:webHidden/>
              </w:rPr>
              <w:instrText xml:space="preserve"> PAGEREF _Toc159073482 \h </w:instrText>
            </w:r>
            <w:r w:rsidR="002412BB">
              <w:rPr>
                <w:noProof/>
                <w:webHidden/>
              </w:rPr>
            </w:r>
            <w:r w:rsidR="002412BB">
              <w:rPr>
                <w:noProof/>
                <w:webHidden/>
              </w:rPr>
              <w:fldChar w:fldCharType="separate"/>
            </w:r>
            <w:r w:rsidR="002412BB">
              <w:rPr>
                <w:noProof/>
                <w:webHidden/>
              </w:rPr>
              <w:t>4</w:t>
            </w:r>
            <w:r w:rsidR="002412BB">
              <w:rPr>
                <w:noProof/>
                <w:webHidden/>
              </w:rPr>
              <w:fldChar w:fldCharType="end"/>
            </w:r>
          </w:hyperlink>
        </w:p>
        <w:p w14:paraId="3F7ECE94" w14:textId="63896A2C" w:rsidR="002412BB" w:rsidRDefault="0054553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59073483" w:history="1">
            <w:r w:rsidR="002412BB" w:rsidRPr="007301BC">
              <w:rPr>
                <w:rStyle w:val="Hyperlink"/>
                <w:noProof/>
              </w:rPr>
              <w:t>Dans les données « single cell »</w:t>
            </w:r>
            <w:r w:rsidR="002412BB">
              <w:rPr>
                <w:noProof/>
                <w:webHidden/>
              </w:rPr>
              <w:tab/>
            </w:r>
            <w:r w:rsidR="002412BB">
              <w:rPr>
                <w:noProof/>
                <w:webHidden/>
              </w:rPr>
              <w:fldChar w:fldCharType="begin"/>
            </w:r>
            <w:r w:rsidR="002412BB">
              <w:rPr>
                <w:noProof/>
                <w:webHidden/>
              </w:rPr>
              <w:instrText xml:space="preserve"> PAGEREF _Toc159073483 \h </w:instrText>
            </w:r>
            <w:r w:rsidR="002412BB">
              <w:rPr>
                <w:noProof/>
                <w:webHidden/>
              </w:rPr>
            </w:r>
            <w:r w:rsidR="002412BB">
              <w:rPr>
                <w:noProof/>
                <w:webHidden/>
              </w:rPr>
              <w:fldChar w:fldCharType="separate"/>
            </w:r>
            <w:r w:rsidR="002412BB">
              <w:rPr>
                <w:noProof/>
                <w:webHidden/>
              </w:rPr>
              <w:t>5</w:t>
            </w:r>
            <w:r w:rsidR="002412BB">
              <w:rPr>
                <w:noProof/>
                <w:webHidden/>
              </w:rPr>
              <w:fldChar w:fldCharType="end"/>
            </w:r>
          </w:hyperlink>
        </w:p>
        <w:p w14:paraId="0727FE4A" w14:textId="7EC7C6D3" w:rsidR="00CF5C99" w:rsidRDefault="00CF5C99">
          <w:r>
            <w:rPr>
              <w:b/>
              <w:bCs/>
              <w:noProof/>
            </w:rPr>
            <w:fldChar w:fldCharType="end"/>
          </w:r>
        </w:p>
      </w:sdtContent>
    </w:sdt>
    <w:p w14:paraId="0853B2C2" w14:textId="77777777" w:rsidR="00CF5C99" w:rsidRDefault="00CF5C99" w:rsidP="00DF13F3">
      <w:pPr>
        <w:jc w:val="center"/>
      </w:pPr>
    </w:p>
    <w:p w14:paraId="4FC1D69E" w14:textId="77777777" w:rsidR="00DF13F3" w:rsidRDefault="00DF13F3" w:rsidP="00DF13F3"/>
    <w:p w14:paraId="4F04AB4E" w14:textId="610CC5BA" w:rsidR="00DF13F3" w:rsidRDefault="00F02D97" w:rsidP="00F02D97">
      <w:pPr>
        <w:pStyle w:val="Heading1"/>
      </w:pPr>
      <w:bookmarkStart w:id="0" w:name="_Toc159073479"/>
      <w:r>
        <w:t>Evaluer le risque de métastases dans le</w:t>
      </w:r>
      <w:r w:rsidR="00991BC6">
        <w:t>s échantillons du</w:t>
      </w:r>
      <w:r>
        <w:t xml:space="preserve"> cancer du sein</w:t>
      </w:r>
      <w:bookmarkEnd w:id="0"/>
    </w:p>
    <w:p w14:paraId="068AD7A7" w14:textId="177FC99C" w:rsidR="00F02D97" w:rsidRDefault="00F02D97" w:rsidP="00C93CFC"/>
    <w:p w14:paraId="71BBFCA1" w14:textId="53D7AC9D" w:rsidR="00067F8D" w:rsidRPr="00067F8D" w:rsidRDefault="00067F8D" w:rsidP="00067F8D">
      <w:pPr>
        <w:pStyle w:val="Heading2"/>
      </w:pPr>
      <w:bookmarkStart w:id="1" w:name="_Toc159073480"/>
      <w:r>
        <w:t>Signature GEC</w:t>
      </w:r>
      <w:bookmarkEnd w:id="1"/>
    </w:p>
    <w:p w14:paraId="278E01F3" w14:textId="01A8F3AF" w:rsidR="0069353C" w:rsidRDefault="0069353C" w:rsidP="00C93CFC"/>
    <w:p w14:paraId="49993134" w14:textId="1E5196DD" w:rsidR="00A4384A" w:rsidRDefault="00A4384A" w:rsidP="00C93CFC">
      <w:r w:rsidRPr="00A4384A">
        <w:rPr>
          <w:highlight w:val="green"/>
        </w:rPr>
        <w:t>Cette partie a été déjà réalisée. La description et les figures sont données pour votre information.</w:t>
      </w:r>
      <w:r>
        <w:t xml:space="preserve"> </w:t>
      </w:r>
    </w:p>
    <w:p w14:paraId="1C661208" w14:textId="54A3448E" w:rsidR="00F02D97" w:rsidRDefault="0007419C" w:rsidP="00C93CFC">
      <w:r>
        <w:t>L</w:t>
      </w:r>
      <w:r w:rsidR="00F02D97">
        <w:t xml:space="preserve">e risque de métastases peut être mesuré dans chaque échantillon du cancer du sein à l’aide de la signature </w:t>
      </w:r>
      <w:r w:rsidR="004E1440">
        <w:t xml:space="preserve">moléculaire déjà connues, appelée </w:t>
      </w:r>
      <w:r w:rsidR="00F02D97">
        <w:t>GEC (Gene Expression Classifier)</w:t>
      </w:r>
      <w:r w:rsidR="004E1440">
        <w:t xml:space="preserve"> et basée</w:t>
      </w:r>
      <w:r w:rsidR="00F02D97">
        <w:t xml:space="preserve"> sur l’expression de 5 gènes : </w:t>
      </w:r>
      <w:r w:rsidR="00F02D97" w:rsidRPr="00F02D97">
        <w:t>DNMT3B, MCM10, EXO1, CENPF, CENPE</w:t>
      </w:r>
      <w:r w:rsidR="00F02D97">
        <w:t>.</w:t>
      </w:r>
    </w:p>
    <w:p w14:paraId="044BC9D9" w14:textId="0BD769DF" w:rsidR="00F02D97" w:rsidRDefault="00F02D97" w:rsidP="00F02D97">
      <w:r>
        <w:t>La signature GEC a été publié</w:t>
      </w:r>
      <w:r w:rsidR="00067F8D">
        <w:t>e</w:t>
      </w:r>
      <w:r>
        <w:t xml:space="preserve"> dans l’article de </w:t>
      </w:r>
      <w:r w:rsidRPr="00C221A0">
        <w:rPr>
          <w:i/>
          <w:iCs/>
        </w:rPr>
        <w:t xml:space="preserve">Jacquet et al. 2023 « Aberrant activation of five </w:t>
      </w:r>
      <w:proofErr w:type="spellStart"/>
      <w:r w:rsidRPr="00C221A0">
        <w:rPr>
          <w:i/>
          <w:iCs/>
        </w:rPr>
        <w:t>embryonic</w:t>
      </w:r>
      <w:proofErr w:type="spellEnd"/>
      <w:r w:rsidRPr="00C221A0">
        <w:rPr>
          <w:i/>
          <w:iCs/>
        </w:rPr>
        <w:t xml:space="preserve"> stem </w:t>
      </w:r>
      <w:proofErr w:type="spellStart"/>
      <w:r w:rsidRPr="00C221A0">
        <w:rPr>
          <w:i/>
          <w:iCs/>
        </w:rPr>
        <w:t>cell-specific</w:t>
      </w:r>
      <w:proofErr w:type="spellEnd"/>
      <w:r w:rsidRPr="00C221A0">
        <w:rPr>
          <w:i/>
          <w:iCs/>
        </w:rPr>
        <w:t xml:space="preserve"> </w:t>
      </w:r>
      <w:proofErr w:type="spellStart"/>
      <w:r w:rsidRPr="00C221A0">
        <w:rPr>
          <w:i/>
          <w:iCs/>
        </w:rPr>
        <w:t>genes</w:t>
      </w:r>
      <w:proofErr w:type="spellEnd"/>
      <w:r w:rsidRPr="00C221A0">
        <w:rPr>
          <w:i/>
          <w:iCs/>
        </w:rPr>
        <w:t xml:space="preserve"> </w:t>
      </w:r>
      <w:proofErr w:type="spellStart"/>
      <w:r w:rsidRPr="00C221A0">
        <w:rPr>
          <w:i/>
          <w:iCs/>
        </w:rPr>
        <w:t>robustly</w:t>
      </w:r>
      <w:proofErr w:type="spellEnd"/>
      <w:r w:rsidRPr="00C221A0">
        <w:rPr>
          <w:i/>
          <w:iCs/>
        </w:rPr>
        <w:t xml:space="preserve"> </w:t>
      </w:r>
      <w:proofErr w:type="spellStart"/>
      <w:r w:rsidRPr="00C221A0">
        <w:rPr>
          <w:i/>
          <w:iCs/>
        </w:rPr>
        <w:t>predicts</w:t>
      </w:r>
      <w:proofErr w:type="spellEnd"/>
      <w:r w:rsidRPr="00C221A0">
        <w:rPr>
          <w:i/>
          <w:iCs/>
        </w:rPr>
        <w:t xml:space="preserve"> a high </w:t>
      </w:r>
      <w:proofErr w:type="spellStart"/>
      <w:r w:rsidRPr="00C221A0">
        <w:rPr>
          <w:i/>
          <w:iCs/>
        </w:rPr>
        <w:t>risk</w:t>
      </w:r>
      <w:proofErr w:type="spellEnd"/>
      <w:r w:rsidRPr="00C221A0">
        <w:rPr>
          <w:i/>
          <w:iCs/>
        </w:rPr>
        <w:t xml:space="preserve"> of relapse in </w:t>
      </w:r>
      <w:proofErr w:type="spellStart"/>
      <w:r w:rsidRPr="00C221A0">
        <w:rPr>
          <w:i/>
          <w:iCs/>
        </w:rPr>
        <w:t>breast</w:t>
      </w:r>
      <w:proofErr w:type="spellEnd"/>
      <w:r w:rsidRPr="00C221A0">
        <w:rPr>
          <w:i/>
          <w:iCs/>
        </w:rPr>
        <w:t xml:space="preserve"> cancers »</w:t>
      </w:r>
      <w:r w:rsidRPr="00F02D97">
        <w:t xml:space="preserve"> </w:t>
      </w:r>
      <w:r>
        <w:t>(</w:t>
      </w:r>
      <w:r w:rsidR="00FA43E4">
        <w:t>Jacquet et al. 20</w:t>
      </w:r>
      <w:r w:rsidR="00A058C3">
        <w:t>2</w:t>
      </w:r>
      <w:r w:rsidR="00FA43E4">
        <w:t xml:space="preserve">3 </w:t>
      </w:r>
      <w:r w:rsidRPr="005430D8">
        <w:t>PMID 37592220</w:t>
      </w:r>
      <w:r>
        <w:t>).</w:t>
      </w:r>
    </w:p>
    <w:p w14:paraId="5CBFA405" w14:textId="441938BB" w:rsidR="00F02D97" w:rsidRDefault="00C221A0" w:rsidP="00F02D97">
      <w:r>
        <w:lastRenderedPageBreak/>
        <w:t xml:space="preserve">Dans chaque échantillon du cancer du sein, il est possible de mesurer le nombre de gènes activés parmi </w:t>
      </w:r>
      <w:r w:rsidR="0069353C">
        <w:t>c</w:t>
      </w:r>
      <w:r>
        <w:t>es 5 gènes</w:t>
      </w:r>
      <w:r w:rsidR="0069353C">
        <w:t xml:space="preserve"> (score GEC)</w:t>
      </w:r>
      <w:r>
        <w:t>. Le score GEC peut varier de 0 (</w:t>
      </w:r>
      <w:r w:rsidR="00067F8D">
        <w:t xml:space="preserve">aucun gène activé, </w:t>
      </w:r>
      <w:r>
        <w:t>risque faible) à 5 (</w:t>
      </w:r>
      <w:r w:rsidR="00067F8D">
        <w:t xml:space="preserve">tous les gènes activés, </w:t>
      </w:r>
      <w:r>
        <w:t xml:space="preserve">risque fort). </w:t>
      </w:r>
    </w:p>
    <w:p w14:paraId="2C034472" w14:textId="301E5026" w:rsidR="00837D70" w:rsidRDefault="00837D70" w:rsidP="00F02D97">
      <w:r w:rsidRPr="00837D70">
        <w:rPr>
          <w:highlight w:val="yellow"/>
        </w:rPr>
        <w:t xml:space="preserve">Le score GEC est déjà connus dans tous les échantillons de tous les </w:t>
      </w:r>
      <w:proofErr w:type="spellStart"/>
      <w:r w:rsidRPr="00837D70">
        <w:rPr>
          <w:highlight w:val="yellow"/>
        </w:rPr>
        <w:t>datasets</w:t>
      </w:r>
      <w:proofErr w:type="spellEnd"/>
      <w:r w:rsidRPr="00837D70">
        <w:rPr>
          <w:highlight w:val="yellow"/>
        </w:rPr>
        <w:t xml:space="preserve"> disponibles</w:t>
      </w:r>
      <w:r>
        <w:t>.</w:t>
      </w:r>
    </w:p>
    <w:p w14:paraId="14B20907" w14:textId="15F56A86" w:rsidR="00E074BA" w:rsidRDefault="00067F8D" w:rsidP="00F02D97">
      <w:r>
        <w:t>L</w:t>
      </w:r>
      <w:r w:rsidR="00E074BA">
        <w:t xml:space="preserve">e score GEC est significativement associé à la survie </w:t>
      </w:r>
      <w:r>
        <w:t xml:space="preserve">globale </w:t>
      </w:r>
      <w:r w:rsidR="00E074BA">
        <w:t xml:space="preserve">des patients </w:t>
      </w:r>
      <w:r w:rsidR="00EE4DDF">
        <w:t xml:space="preserve">(dans les </w:t>
      </w:r>
      <w:proofErr w:type="spellStart"/>
      <w:r w:rsidR="00EE4DDF">
        <w:t>datasets</w:t>
      </w:r>
      <w:proofErr w:type="spellEnd"/>
      <w:r w:rsidR="00EE4DDF">
        <w:t xml:space="preserve"> où les données de survie globale OS sont disponible</w:t>
      </w:r>
      <w:r>
        <w:t>s</w:t>
      </w:r>
      <w:r w:rsidR="00EE4DDF">
        <w:t xml:space="preserve">) </w:t>
      </w:r>
      <w:r>
        <w:t>ainsi qu’</w:t>
      </w:r>
      <w:r w:rsidR="00E074BA">
        <w:t>au risque de rechute de la maladie</w:t>
      </w:r>
      <w:r w:rsidR="00EE4DDF">
        <w:t xml:space="preserve"> (</w:t>
      </w:r>
      <w:r w:rsidR="008276F3">
        <w:t xml:space="preserve">données de survie </w:t>
      </w:r>
      <w:r w:rsidR="00E92259">
        <w:t xml:space="preserve">DFS </w:t>
      </w:r>
      <w:r w:rsidR="008276F3">
        <w:t xml:space="preserve">disponibles </w:t>
      </w:r>
      <w:r w:rsidR="00EE4DDF">
        <w:t xml:space="preserve">dans tous les </w:t>
      </w:r>
      <w:proofErr w:type="spellStart"/>
      <w:r w:rsidR="00EE4DDF">
        <w:t>datasets</w:t>
      </w:r>
      <w:proofErr w:type="spellEnd"/>
      <w:r w:rsidR="00EE4DDF">
        <w:t>)</w:t>
      </w:r>
      <w:r w:rsidR="00E074BA">
        <w:t xml:space="preserve">. </w:t>
      </w:r>
    </w:p>
    <w:p w14:paraId="74EA4FA4" w14:textId="3375E8F6" w:rsidR="00EE4DDF" w:rsidRDefault="00EE4DDF" w:rsidP="00F02D97"/>
    <w:p w14:paraId="42AC7279" w14:textId="5F35F5A3" w:rsidR="00EE4DDF" w:rsidRPr="00EE4DDF" w:rsidRDefault="00EE4DDF" w:rsidP="00F02D97">
      <w:pPr>
        <w:rPr>
          <w:b/>
          <w:bCs/>
          <w:u w:val="single"/>
        </w:rPr>
      </w:pPr>
      <w:r w:rsidRPr="00EE4DDF">
        <w:rPr>
          <w:b/>
          <w:bCs/>
          <w:u w:val="single"/>
        </w:rPr>
        <w:t>Survie sans rechute</w:t>
      </w:r>
    </w:p>
    <w:p w14:paraId="715561C8" w14:textId="0B4C3088" w:rsidR="00F02D97" w:rsidRDefault="00E074BA" w:rsidP="00EE4DDF">
      <w:pPr>
        <w:jc w:val="center"/>
      </w:pPr>
      <w:r>
        <w:rPr>
          <w:noProof/>
        </w:rPr>
        <w:drawing>
          <wp:inline distT="0" distB="0" distL="0" distR="0" wp14:anchorId="7191F029" wp14:editId="462A9CEF">
            <wp:extent cx="5756910" cy="3759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3CC7E" w14:textId="77777777" w:rsidR="00067F8D" w:rsidRDefault="00067F8D" w:rsidP="00067F8D">
      <w:pPr>
        <w:rPr>
          <w:b/>
          <w:bCs/>
          <w:u w:val="single"/>
        </w:rPr>
      </w:pPr>
    </w:p>
    <w:p w14:paraId="7FC9ED31" w14:textId="2D51FBC0" w:rsidR="00067F8D" w:rsidRPr="00EE4DDF" w:rsidRDefault="00067F8D" w:rsidP="00067F8D">
      <w:pPr>
        <w:rPr>
          <w:b/>
          <w:bCs/>
          <w:u w:val="single"/>
        </w:rPr>
      </w:pPr>
      <w:r w:rsidRPr="00EE4DDF">
        <w:rPr>
          <w:b/>
          <w:bCs/>
          <w:u w:val="single"/>
        </w:rPr>
        <w:t>Survie globale</w:t>
      </w:r>
    </w:p>
    <w:p w14:paraId="302DC5E8" w14:textId="57262C74" w:rsidR="00067F8D" w:rsidRDefault="00067F8D" w:rsidP="00067F8D">
      <w:r>
        <w:rPr>
          <w:noProof/>
        </w:rPr>
        <w:lastRenderedPageBreak/>
        <w:drawing>
          <wp:inline distT="0" distB="0" distL="0" distR="0" wp14:anchorId="670E1D10" wp14:editId="237DD49B">
            <wp:extent cx="5756910" cy="3759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80E19" w14:textId="16380259" w:rsidR="00F02D97" w:rsidRDefault="00067F8D" w:rsidP="00372541">
      <w:pPr>
        <w:jc w:val="center"/>
        <w:rPr>
          <w:i/>
          <w:iCs/>
        </w:rPr>
      </w:pPr>
      <w:r w:rsidRPr="00067F8D">
        <w:rPr>
          <w:i/>
          <w:iCs/>
        </w:rPr>
        <w:t xml:space="preserve">case vide = données de survie </w:t>
      </w:r>
      <w:r w:rsidR="00AB569B">
        <w:rPr>
          <w:i/>
          <w:iCs/>
        </w:rPr>
        <w:t xml:space="preserve">OS </w:t>
      </w:r>
      <w:r w:rsidRPr="00067F8D">
        <w:rPr>
          <w:i/>
          <w:iCs/>
        </w:rPr>
        <w:t>absentes</w:t>
      </w:r>
    </w:p>
    <w:p w14:paraId="7DBEDEEE" w14:textId="77777777" w:rsidR="004E1440" w:rsidRPr="004E1440" w:rsidRDefault="004E1440" w:rsidP="00C93CFC"/>
    <w:p w14:paraId="173FFF77" w14:textId="15F59A26" w:rsidR="002A11DE" w:rsidRDefault="004E1440" w:rsidP="004E1440">
      <w:r>
        <w:t>L</w:t>
      </w:r>
      <w:r w:rsidR="00694A8C">
        <w:t xml:space="preserve">e score GEC est </w:t>
      </w:r>
      <w:r>
        <w:t xml:space="preserve">également </w:t>
      </w:r>
      <w:r w:rsidR="00694A8C">
        <w:t>associé au risque de métastases</w:t>
      </w:r>
      <w:r w:rsidR="009627A6">
        <w:t xml:space="preserve"> (</w:t>
      </w:r>
      <w:r w:rsidR="00A058C3">
        <w:t xml:space="preserve">Jacquet et al. 2023 </w:t>
      </w:r>
      <w:r w:rsidR="00A058C3" w:rsidRPr="005430D8">
        <w:t>PMID 37592220</w:t>
      </w:r>
      <w:r w:rsidR="009627A6">
        <w:t>)</w:t>
      </w:r>
      <w:r>
        <w:t xml:space="preserve">. </w:t>
      </w:r>
      <w:r w:rsidR="00C248FF">
        <w:t>Notamment, les tumeurs GEC+ sont significativement enrichies en signatures de métastases</w:t>
      </w:r>
      <w:r w:rsidR="00A4384A">
        <w:t xml:space="preserve"> (du cancer du sein et d’autres cancers solides)</w:t>
      </w:r>
      <w:r w:rsidR="00E761A0">
        <w:t xml:space="preserve"> </w:t>
      </w:r>
      <w:r w:rsidR="00C248FF">
        <w:t>connues et publiées dans la littérature. Ci-dessous quelques résultats d</w:t>
      </w:r>
      <w:r w:rsidR="00E429B8">
        <w:t>e l’</w:t>
      </w:r>
      <w:r w:rsidR="00C248FF">
        <w:t xml:space="preserve">analyse GSEA dans les </w:t>
      </w:r>
      <w:proofErr w:type="spellStart"/>
      <w:r w:rsidR="00C248FF">
        <w:t>datasets</w:t>
      </w:r>
      <w:proofErr w:type="spellEnd"/>
      <w:r w:rsidR="00C248FF">
        <w:t xml:space="preserve"> TCGA-BRCA et E</w:t>
      </w:r>
      <w:r w:rsidR="00E429B8">
        <w:t>-</w:t>
      </w:r>
      <w:r w:rsidR="00C248FF">
        <w:t>MTAB-365.</w:t>
      </w:r>
      <w:r w:rsidR="00E761A0">
        <w:t xml:space="preserve"> </w:t>
      </w:r>
      <w:r w:rsidR="00E429B8">
        <w:t>Par exemple, les tumeurs GEC+ sont enrichies en</w:t>
      </w:r>
      <w:r w:rsidR="00E761A0">
        <w:t xml:space="preserve"> signature de </w:t>
      </w:r>
      <w:proofErr w:type="spellStart"/>
      <w:r w:rsidR="00E761A0">
        <w:t>van’t</w:t>
      </w:r>
      <w:proofErr w:type="spellEnd"/>
      <w:r w:rsidR="00E761A0">
        <w:t xml:space="preserve"> </w:t>
      </w:r>
      <w:proofErr w:type="spellStart"/>
      <w:r w:rsidR="00E761A0">
        <w:t>Veer</w:t>
      </w:r>
      <w:proofErr w:type="spellEnd"/>
      <w:r w:rsidR="00E429B8">
        <w:t xml:space="preserve"> </w:t>
      </w:r>
      <w:r w:rsidR="00E429B8" w:rsidRPr="00E429B8">
        <w:t xml:space="preserve">(van 't </w:t>
      </w:r>
      <w:proofErr w:type="spellStart"/>
      <w:r w:rsidR="00E429B8" w:rsidRPr="00E429B8">
        <w:t>Veer</w:t>
      </w:r>
      <w:proofErr w:type="spellEnd"/>
      <w:r w:rsidR="00E429B8" w:rsidRPr="00E429B8">
        <w:t xml:space="preserve"> et al. 2002, </w:t>
      </w:r>
      <w:r w:rsidR="00E429B8" w:rsidRPr="00E429B8">
        <w:rPr>
          <w:i/>
          <w:iCs/>
        </w:rPr>
        <w:t>Nature</w:t>
      </w:r>
      <w:r w:rsidR="00E429B8" w:rsidRPr="00E429B8">
        <w:t>, PMID 11823860)</w:t>
      </w:r>
      <w:r w:rsidR="00E429B8">
        <w:t xml:space="preserve">, intégrée dans le test existant </w:t>
      </w:r>
      <w:proofErr w:type="spellStart"/>
      <w:r w:rsidR="00E429B8">
        <w:t>MammaPrint</w:t>
      </w:r>
      <w:proofErr w:type="spellEnd"/>
      <w:r w:rsidR="00E429B8">
        <w:t>.</w:t>
      </w:r>
    </w:p>
    <w:p w14:paraId="39ECBAFE" w14:textId="3727512A" w:rsidR="00A80F99" w:rsidRDefault="004E1440" w:rsidP="000C661E">
      <w:pPr>
        <w:jc w:val="center"/>
      </w:pPr>
      <w:r w:rsidRPr="004E1440">
        <w:rPr>
          <w:noProof/>
        </w:rPr>
        <w:drawing>
          <wp:inline distT="0" distB="0" distL="0" distR="0" wp14:anchorId="5AB15FFE" wp14:editId="63ECFB16">
            <wp:extent cx="4968000" cy="3247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892D" w14:textId="1C8EBE84" w:rsidR="009627A6" w:rsidRDefault="009627A6" w:rsidP="000C661E">
      <w:pPr>
        <w:jc w:val="center"/>
      </w:pPr>
      <w:r w:rsidRPr="009627A6">
        <w:rPr>
          <w:noProof/>
        </w:rPr>
        <w:lastRenderedPageBreak/>
        <w:drawing>
          <wp:inline distT="0" distB="0" distL="0" distR="0" wp14:anchorId="2B2F97D6" wp14:editId="15695CED">
            <wp:extent cx="4881600" cy="32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6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978D" w14:textId="5C8B1F6F" w:rsidR="001B5E37" w:rsidRDefault="001B5E37" w:rsidP="00F942DA">
      <w:pPr>
        <w:jc w:val="left"/>
      </w:pPr>
    </w:p>
    <w:p w14:paraId="6041C3CF" w14:textId="77777777" w:rsidR="00C248FF" w:rsidRDefault="00C248FF" w:rsidP="00F942DA">
      <w:pPr>
        <w:jc w:val="left"/>
      </w:pPr>
    </w:p>
    <w:p w14:paraId="4860BBB9" w14:textId="1A06F007" w:rsidR="00F57D2C" w:rsidRDefault="00F57D2C" w:rsidP="00F942DA">
      <w:pPr>
        <w:jc w:val="left"/>
      </w:pPr>
      <w:r w:rsidRPr="0007419C">
        <w:rPr>
          <w:u w:val="single"/>
        </w:rPr>
        <w:t>Conclusion</w:t>
      </w:r>
      <w:r>
        <w:t xml:space="preserve"> : </w:t>
      </w:r>
      <w:r w:rsidR="0007419C">
        <w:t>L</w:t>
      </w:r>
      <w:r>
        <w:t xml:space="preserve">a signature GEC peut être utilisée comme </w:t>
      </w:r>
      <w:r w:rsidR="00545532">
        <w:t>une</w:t>
      </w:r>
      <w:r>
        <w:t xml:space="preserve"> signature de risque de métastases dans le cancer du sein. </w:t>
      </w:r>
    </w:p>
    <w:p w14:paraId="7FB878FF" w14:textId="77777777" w:rsidR="005250EB" w:rsidRDefault="005250EB" w:rsidP="00C93CFC"/>
    <w:p w14:paraId="7DE841F8" w14:textId="77777777" w:rsidR="00DE3C83" w:rsidRDefault="00DE3C83" w:rsidP="00C93CFC"/>
    <w:p w14:paraId="44583D19" w14:textId="55B0891C" w:rsidR="00AE1B95" w:rsidRDefault="00AE1B95" w:rsidP="00AE1B95">
      <w:pPr>
        <w:pStyle w:val="Heading1"/>
      </w:pPr>
      <w:bookmarkStart w:id="2" w:name="_Toc159073481"/>
      <w:r>
        <w:t>Identifier les enzymes de méthylation activés dans le cancer métastatique</w:t>
      </w:r>
      <w:bookmarkEnd w:id="2"/>
    </w:p>
    <w:p w14:paraId="7088E0F8" w14:textId="4E2B7637" w:rsidR="00B91D39" w:rsidRDefault="00B91D39" w:rsidP="00B91D39"/>
    <w:p w14:paraId="7462FA03" w14:textId="785A2CCB" w:rsidR="00B91D39" w:rsidRPr="00B91D39" w:rsidRDefault="00B91D39" w:rsidP="00B91D39">
      <w:pPr>
        <w:pStyle w:val="Heading2"/>
      </w:pPr>
      <w:bookmarkStart w:id="3" w:name="_Toc159073482"/>
      <w:r>
        <w:t xml:space="preserve">Dans les données d’expression totale (8 </w:t>
      </w:r>
      <w:proofErr w:type="spellStart"/>
      <w:r>
        <w:t>datasets</w:t>
      </w:r>
      <w:proofErr w:type="spellEnd"/>
      <w:r>
        <w:t>)</w:t>
      </w:r>
      <w:bookmarkEnd w:id="3"/>
    </w:p>
    <w:p w14:paraId="5DB5EF4A" w14:textId="4B6DF86A" w:rsidR="00AE1B95" w:rsidRDefault="00AE1B95" w:rsidP="00ED3F23"/>
    <w:p w14:paraId="5CCC21F3" w14:textId="057B019F" w:rsidR="00427554" w:rsidRDefault="00427554" w:rsidP="00427554">
      <w:r>
        <w:t>Réaliser une analyse différentielle entre les groupes GEC+ versus GEC- pour les enzymes de méthylations comme dans la première partie du travail (</w:t>
      </w:r>
      <w:r w:rsidR="009B0314">
        <w:t xml:space="preserve">comme c’était pour les groupes </w:t>
      </w:r>
      <w:r>
        <w:t>cancer vs normal ou sous-types moléculaires).</w:t>
      </w:r>
    </w:p>
    <w:p w14:paraId="31A44F47" w14:textId="1E52E230" w:rsidR="00427554" w:rsidRDefault="009B0314" w:rsidP="00427554">
      <w:r>
        <w:t xml:space="preserve">Présenter les résultats dans un </w:t>
      </w:r>
      <w:proofErr w:type="spellStart"/>
      <w:r>
        <w:t>volcanoplot</w:t>
      </w:r>
      <w:proofErr w:type="spellEnd"/>
      <w:r>
        <w:t xml:space="preserve"> similaire à celui montré ci-dessous.</w:t>
      </w:r>
      <w:r w:rsidR="0039220E">
        <w:t xml:space="preserve"> Il y aura 8 figures, une par </w:t>
      </w:r>
      <w:proofErr w:type="spellStart"/>
      <w:r w:rsidR="0039220E">
        <w:t>dataset</w:t>
      </w:r>
      <w:proofErr w:type="spellEnd"/>
      <w:r w:rsidR="0039220E">
        <w:t>.</w:t>
      </w:r>
    </w:p>
    <w:p w14:paraId="47BA4449" w14:textId="50504E4C" w:rsidR="00132AFA" w:rsidRDefault="00427554" w:rsidP="00454AEF">
      <w:pPr>
        <w:jc w:val="center"/>
      </w:pPr>
      <w:r w:rsidRPr="0093720F">
        <w:rPr>
          <w:noProof/>
        </w:rPr>
        <w:lastRenderedPageBreak/>
        <w:drawing>
          <wp:inline distT="0" distB="0" distL="0" distR="0" wp14:anchorId="5FD02790" wp14:editId="4F8A9E52">
            <wp:extent cx="3919122" cy="3060302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2226" cy="307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D7D8" w14:textId="6DEFFC77" w:rsidR="00AE1B95" w:rsidRDefault="00B06B8B" w:rsidP="00B06B8B">
      <w:pPr>
        <w:jc w:val="center"/>
        <w:rPr>
          <w:i/>
          <w:iCs/>
        </w:rPr>
      </w:pPr>
      <w:r w:rsidRPr="00025794">
        <w:rPr>
          <w:i/>
          <w:iCs/>
        </w:rPr>
        <w:t>Figure issue d</w:t>
      </w:r>
      <w:r w:rsidR="00025794">
        <w:rPr>
          <w:i/>
          <w:iCs/>
        </w:rPr>
        <w:t>’un article</w:t>
      </w:r>
      <w:r w:rsidR="00025794" w:rsidRPr="00025794">
        <w:rPr>
          <w:i/>
          <w:iCs/>
        </w:rPr>
        <w:t xml:space="preserve"> </w:t>
      </w:r>
      <w:r w:rsidR="00025794">
        <w:rPr>
          <w:i/>
          <w:iCs/>
        </w:rPr>
        <w:t xml:space="preserve">publié </w:t>
      </w:r>
      <w:r w:rsidR="00025794" w:rsidRPr="00025794">
        <w:rPr>
          <w:i/>
          <w:iCs/>
        </w:rPr>
        <w:t>de l’équipe de Nicolas</w:t>
      </w:r>
      <w:r w:rsidR="00D95DE6">
        <w:rPr>
          <w:i/>
          <w:iCs/>
        </w:rPr>
        <w:t xml:space="preserve"> </w:t>
      </w:r>
      <w:proofErr w:type="spellStart"/>
      <w:r w:rsidR="00D95DE6">
        <w:rPr>
          <w:i/>
          <w:iCs/>
        </w:rPr>
        <w:t>Reynoird</w:t>
      </w:r>
      <w:proofErr w:type="spellEnd"/>
      <w:r w:rsidR="00025794">
        <w:rPr>
          <w:i/>
          <w:iCs/>
        </w:rPr>
        <w:t xml:space="preserve"> </w:t>
      </w:r>
      <w:r w:rsidR="00076D55">
        <w:rPr>
          <w:i/>
          <w:iCs/>
        </w:rPr>
        <w:t xml:space="preserve">sur les KMT </w:t>
      </w:r>
      <w:r w:rsidR="00025794" w:rsidRPr="00025794">
        <w:rPr>
          <w:i/>
          <w:iCs/>
        </w:rPr>
        <w:t>(</w:t>
      </w:r>
      <w:r w:rsidRPr="00025794">
        <w:rPr>
          <w:i/>
          <w:iCs/>
        </w:rPr>
        <w:t xml:space="preserve">Casanova et al. 2024 </w:t>
      </w:r>
      <w:r w:rsidR="00025794" w:rsidRPr="00025794">
        <w:rPr>
          <w:i/>
          <w:iCs/>
        </w:rPr>
        <w:t>PMID 38296970).</w:t>
      </w:r>
      <w:r w:rsidR="00076D55">
        <w:rPr>
          <w:i/>
          <w:iCs/>
        </w:rPr>
        <w:t xml:space="preserve"> Les autres enzymes</w:t>
      </w:r>
      <w:r w:rsidR="00296E99">
        <w:rPr>
          <w:i/>
          <w:iCs/>
        </w:rPr>
        <w:t xml:space="preserve"> (KDM, KMB)</w:t>
      </w:r>
      <w:r w:rsidR="00076D55">
        <w:rPr>
          <w:i/>
          <w:iCs/>
        </w:rPr>
        <w:t xml:space="preserve"> n’</w:t>
      </w:r>
      <w:r w:rsidR="005A7E40">
        <w:rPr>
          <w:i/>
          <w:iCs/>
        </w:rPr>
        <w:t>avaient</w:t>
      </w:r>
      <w:r w:rsidR="00076D55">
        <w:rPr>
          <w:i/>
          <w:iCs/>
        </w:rPr>
        <w:t xml:space="preserve"> pas été inclus.</w:t>
      </w:r>
      <w:r w:rsidR="005A7E40">
        <w:rPr>
          <w:i/>
          <w:iCs/>
        </w:rPr>
        <w:t xml:space="preserve"> Il serait intéressant de les analyser aussi.</w:t>
      </w:r>
    </w:p>
    <w:p w14:paraId="3BADCF20" w14:textId="77777777" w:rsidR="00025794" w:rsidRPr="00025794" w:rsidRDefault="00025794" w:rsidP="00B06B8B">
      <w:pPr>
        <w:jc w:val="center"/>
        <w:rPr>
          <w:i/>
          <w:iCs/>
        </w:rPr>
      </w:pPr>
    </w:p>
    <w:p w14:paraId="3011D57C" w14:textId="4A261DFC" w:rsidR="00D90FB2" w:rsidRDefault="00B91D39" w:rsidP="00B91D39">
      <w:pPr>
        <w:pStyle w:val="Heading2"/>
      </w:pPr>
      <w:bookmarkStart w:id="4" w:name="_Toc159073483"/>
      <w:r>
        <w:t xml:space="preserve">Dans les données « single </w:t>
      </w:r>
      <w:proofErr w:type="spellStart"/>
      <w:r>
        <w:t>cell</w:t>
      </w:r>
      <w:proofErr w:type="spellEnd"/>
      <w:r>
        <w:t> »</w:t>
      </w:r>
      <w:bookmarkEnd w:id="4"/>
    </w:p>
    <w:p w14:paraId="62C40714" w14:textId="59139B97" w:rsidR="00B91D39" w:rsidRDefault="00B91D39" w:rsidP="00ED3F23"/>
    <w:p w14:paraId="6044C3B3" w14:textId="2214B8F2" w:rsidR="00B91D39" w:rsidRPr="00C93CFC" w:rsidRDefault="00D0352A" w:rsidP="00ED3F23">
      <w:r>
        <w:t>S’il reste du temps, f</w:t>
      </w:r>
      <w:r w:rsidR="00B91D39">
        <w:t xml:space="preserve">aire la même chose dans les données single </w:t>
      </w:r>
      <w:proofErr w:type="spellStart"/>
      <w:r w:rsidR="00B91D39">
        <w:t>cell</w:t>
      </w:r>
      <w:proofErr w:type="spellEnd"/>
      <w:r w:rsidR="00B91D39">
        <w:t xml:space="preserve"> (1 nouveau </w:t>
      </w:r>
      <w:proofErr w:type="spellStart"/>
      <w:r w:rsidR="00B91D39">
        <w:t>dataset</w:t>
      </w:r>
      <w:proofErr w:type="spellEnd"/>
      <w:r w:rsidR="00B91D39">
        <w:t xml:space="preserve"> </w:t>
      </w:r>
      <w:r w:rsidR="00B91D39" w:rsidRPr="00B91D39">
        <w:t>GSE118389</w:t>
      </w:r>
      <w:r w:rsidR="00B91D39">
        <w:t xml:space="preserve"> à ajouter</w:t>
      </w:r>
      <w:r w:rsidR="005701A8">
        <w:t>, cancer du sein triple négatif / basal-like</w:t>
      </w:r>
      <w:r w:rsidR="00B91D39">
        <w:t>)</w:t>
      </w:r>
      <w:r w:rsidR="001E76B5">
        <w:t xml:space="preserve"> dans les cellules tumorales uniquement.</w:t>
      </w:r>
    </w:p>
    <w:sectPr w:rsidR="00B91D39" w:rsidRPr="00C93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91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F31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5B7D4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D972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783210"/>
    <w:multiLevelType w:val="hybridMultilevel"/>
    <w:tmpl w:val="9E383E8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4DF07A1"/>
    <w:multiLevelType w:val="hybridMultilevel"/>
    <w:tmpl w:val="5A9A3B1E"/>
    <w:lvl w:ilvl="0" w:tplc="28C8D5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6237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F04BCC"/>
    <w:multiLevelType w:val="hybridMultilevel"/>
    <w:tmpl w:val="0B8A0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918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9321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163EA7"/>
    <w:multiLevelType w:val="hybridMultilevel"/>
    <w:tmpl w:val="7AB60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410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B26528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E6720F"/>
    <w:multiLevelType w:val="hybridMultilevel"/>
    <w:tmpl w:val="0470B2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BB26C5"/>
    <w:multiLevelType w:val="hybridMultilevel"/>
    <w:tmpl w:val="59F461E6"/>
    <w:lvl w:ilvl="0" w:tplc="28C8D59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BB091B"/>
    <w:multiLevelType w:val="hybridMultilevel"/>
    <w:tmpl w:val="FF1A2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13"/>
  </w:num>
  <w:num w:numId="11">
    <w:abstractNumId w:val="14"/>
  </w:num>
  <w:num w:numId="12">
    <w:abstractNumId w:val="5"/>
  </w:num>
  <w:num w:numId="13">
    <w:abstractNumId w:val="4"/>
  </w:num>
  <w:num w:numId="14">
    <w:abstractNumId w:val="1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6F"/>
    <w:rsid w:val="00006890"/>
    <w:rsid w:val="000112C6"/>
    <w:rsid w:val="00020FE5"/>
    <w:rsid w:val="00022DFF"/>
    <w:rsid w:val="00025794"/>
    <w:rsid w:val="00027D52"/>
    <w:rsid w:val="00032768"/>
    <w:rsid w:val="00035073"/>
    <w:rsid w:val="000406D9"/>
    <w:rsid w:val="0004479A"/>
    <w:rsid w:val="00050EF6"/>
    <w:rsid w:val="00053691"/>
    <w:rsid w:val="00056150"/>
    <w:rsid w:val="00065EF4"/>
    <w:rsid w:val="00067F8D"/>
    <w:rsid w:val="0007419C"/>
    <w:rsid w:val="00074A68"/>
    <w:rsid w:val="00076D55"/>
    <w:rsid w:val="0008539B"/>
    <w:rsid w:val="000B2646"/>
    <w:rsid w:val="000B5273"/>
    <w:rsid w:val="000C57EB"/>
    <w:rsid w:val="000C60C7"/>
    <w:rsid w:val="000C661E"/>
    <w:rsid w:val="000D19C0"/>
    <w:rsid w:val="000F00FB"/>
    <w:rsid w:val="001060DA"/>
    <w:rsid w:val="00111D08"/>
    <w:rsid w:val="00113077"/>
    <w:rsid w:val="00132AFA"/>
    <w:rsid w:val="00144257"/>
    <w:rsid w:val="0015433A"/>
    <w:rsid w:val="001640AD"/>
    <w:rsid w:val="001852AE"/>
    <w:rsid w:val="00194C19"/>
    <w:rsid w:val="001B2825"/>
    <w:rsid w:val="001B571A"/>
    <w:rsid w:val="001B5E37"/>
    <w:rsid w:val="001B7C46"/>
    <w:rsid w:val="001D2420"/>
    <w:rsid w:val="001E76B5"/>
    <w:rsid w:val="001F1F74"/>
    <w:rsid w:val="001F224D"/>
    <w:rsid w:val="001F466E"/>
    <w:rsid w:val="00205DC8"/>
    <w:rsid w:val="00216D31"/>
    <w:rsid w:val="00232E66"/>
    <w:rsid w:val="00234AEE"/>
    <w:rsid w:val="002412BB"/>
    <w:rsid w:val="00251C13"/>
    <w:rsid w:val="00277155"/>
    <w:rsid w:val="0027744D"/>
    <w:rsid w:val="002843FA"/>
    <w:rsid w:val="00296E99"/>
    <w:rsid w:val="00297D52"/>
    <w:rsid w:val="002A11DE"/>
    <w:rsid w:val="002B310A"/>
    <w:rsid w:val="002C5212"/>
    <w:rsid w:val="00301D05"/>
    <w:rsid w:val="00305179"/>
    <w:rsid w:val="00310393"/>
    <w:rsid w:val="00310CB7"/>
    <w:rsid w:val="003136A7"/>
    <w:rsid w:val="00333334"/>
    <w:rsid w:val="00353EA1"/>
    <w:rsid w:val="00372541"/>
    <w:rsid w:val="0037373C"/>
    <w:rsid w:val="00374C65"/>
    <w:rsid w:val="00387329"/>
    <w:rsid w:val="00390C6F"/>
    <w:rsid w:val="0039220E"/>
    <w:rsid w:val="00393323"/>
    <w:rsid w:val="00393C26"/>
    <w:rsid w:val="003A512F"/>
    <w:rsid w:val="003C28C6"/>
    <w:rsid w:val="003D0395"/>
    <w:rsid w:val="003D312D"/>
    <w:rsid w:val="003F1C1A"/>
    <w:rsid w:val="00402B80"/>
    <w:rsid w:val="00412BB3"/>
    <w:rsid w:val="0041637C"/>
    <w:rsid w:val="0042456E"/>
    <w:rsid w:val="00427554"/>
    <w:rsid w:val="004304CD"/>
    <w:rsid w:val="004469A6"/>
    <w:rsid w:val="00454AEF"/>
    <w:rsid w:val="00463EC7"/>
    <w:rsid w:val="00466369"/>
    <w:rsid w:val="00490ED6"/>
    <w:rsid w:val="00495B84"/>
    <w:rsid w:val="0049629E"/>
    <w:rsid w:val="004A39BF"/>
    <w:rsid w:val="004A54F9"/>
    <w:rsid w:val="004A597F"/>
    <w:rsid w:val="004B635B"/>
    <w:rsid w:val="004C387B"/>
    <w:rsid w:val="004C54FF"/>
    <w:rsid w:val="004D45DB"/>
    <w:rsid w:val="004E1440"/>
    <w:rsid w:val="004E24B6"/>
    <w:rsid w:val="004E6139"/>
    <w:rsid w:val="004F1599"/>
    <w:rsid w:val="004F385D"/>
    <w:rsid w:val="005027EE"/>
    <w:rsid w:val="005066EB"/>
    <w:rsid w:val="00513DEB"/>
    <w:rsid w:val="00514222"/>
    <w:rsid w:val="00524A7C"/>
    <w:rsid w:val="005250EB"/>
    <w:rsid w:val="005430D8"/>
    <w:rsid w:val="00545532"/>
    <w:rsid w:val="00547443"/>
    <w:rsid w:val="00552897"/>
    <w:rsid w:val="005701A8"/>
    <w:rsid w:val="005744E5"/>
    <w:rsid w:val="00577B55"/>
    <w:rsid w:val="00583219"/>
    <w:rsid w:val="00584BF8"/>
    <w:rsid w:val="005A54FC"/>
    <w:rsid w:val="005A5DFE"/>
    <w:rsid w:val="005A7E40"/>
    <w:rsid w:val="005B0483"/>
    <w:rsid w:val="005B0C68"/>
    <w:rsid w:val="005B1622"/>
    <w:rsid w:val="005B2B20"/>
    <w:rsid w:val="005C64DA"/>
    <w:rsid w:val="005D0457"/>
    <w:rsid w:val="005D5491"/>
    <w:rsid w:val="005D67EB"/>
    <w:rsid w:val="005E4BCF"/>
    <w:rsid w:val="005F1C39"/>
    <w:rsid w:val="005F38A9"/>
    <w:rsid w:val="005F3FF4"/>
    <w:rsid w:val="006018E2"/>
    <w:rsid w:val="006034B7"/>
    <w:rsid w:val="00605816"/>
    <w:rsid w:val="00611AE6"/>
    <w:rsid w:val="0062138D"/>
    <w:rsid w:val="0062282A"/>
    <w:rsid w:val="0063464F"/>
    <w:rsid w:val="00636DA5"/>
    <w:rsid w:val="0064045A"/>
    <w:rsid w:val="0066149A"/>
    <w:rsid w:val="00674140"/>
    <w:rsid w:val="006911DD"/>
    <w:rsid w:val="0069353C"/>
    <w:rsid w:val="00694A8C"/>
    <w:rsid w:val="006958FF"/>
    <w:rsid w:val="006B4A57"/>
    <w:rsid w:val="006C15C1"/>
    <w:rsid w:val="006D0D31"/>
    <w:rsid w:val="006D198E"/>
    <w:rsid w:val="006E462D"/>
    <w:rsid w:val="006F0999"/>
    <w:rsid w:val="006F17C7"/>
    <w:rsid w:val="006F3E4B"/>
    <w:rsid w:val="007012F4"/>
    <w:rsid w:val="00702D6E"/>
    <w:rsid w:val="00741330"/>
    <w:rsid w:val="00745CA5"/>
    <w:rsid w:val="007524FB"/>
    <w:rsid w:val="007611AD"/>
    <w:rsid w:val="0076206C"/>
    <w:rsid w:val="00772867"/>
    <w:rsid w:val="00780268"/>
    <w:rsid w:val="00782561"/>
    <w:rsid w:val="00787394"/>
    <w:rsid w:val="00790EC7"/>
    <w:rsid w:val="00794979"/>
    <w:rsid w:val="0079749A"/>
    <w:rsid w:val="007A0E29"/>
    <w:rsid w:val="007A4699"/>
    <w:rsid w:val="007B60FD"/>
    <w:rsid w:val="007D2385"/>
    <w:rsid w:val="007D2A87"/>
    <w:rsid w:val="007D53F8"/>
    <w:rsid w:val="007E070B"/>
    <w:rsid w:val="00804E3C"/>
    <w:rsid w:val="008129A9"/>
    <w:rsid w:val="00816A53"/>
    <w:rsid w:val="008276F3"/>
    <w:rsid w:val="0083643F"/>
    <w:rsid w:val="00837D70"/>
    <w:rsid w:val="008808CB"/>
    <w:rsid w:val="008A7B25"/>
    <w:rsid w:val="008C487B"/>
    <w:rsid w:val="008C78E8"/>
    <w:rsid w:val="008D1859"/>
    <w:rsid w:val="008D27F2"/>
    <w:rsid w:val="008E19A9"/>
    <w:rsid w:val="008E5BA8"/>
    <w:rsid w:val="008E6036"/>
    <w:rsid w:val="00902013"/>
    <w:rsid w:val="009027B7"/>
    <w:rsid w:val="00913AE7"/>
    <w:rsid w:val="00930AAD"/>
    <w:rsid w:val="0093353B"/>
    <w:rsid w:val="0093720F"/>
    <w:rsid w:val="009417A5"/>
    <w:rsid w:val="00946354"/>
    <w:rsid w:val="0094766B"/>
    <w:rsid w:val="009627A6"/>
    <w:rsid w:val="00991BC6"/>
    <w:rsid w:val="009945DC"/>
    <w:rsid w:val="009A4614"/>
    <w:rsid w:val="009B00FC"/>
    <w:rsid w:val="009B0314"/>
    <w:rsid w:val="009B047A"/>
    <w:rsid w:val="009B51DD"/>
    <w:rsid w:val="009C2593"/>
    <w:rsid w:val="009C5D98"/>
    <w:rsid w:val="009D0BB3"/>
    <w:rsid w:val="009D54FC"/>
    <w:rsid w:val="009D5C8F"/>
    <w:rsid w:val="009E2DA6"/>
    <w:rsid w:val="009F3D3B"/>
    <w:rsid w:val="00A02CD5"/>
    <w:rsid w:val="00A03294"/>
    <w:rsid w:val="00A058C3"/>
    <w:rsid w:val="00A079CD"/>
    <w:rsid w:val="00A17C54"/>
    <w:rsid w:val="00A236D4"/>
    <w:rsid w:val="00A32ACA"/>
    <w:rsid w:val="00A36496"/>
    <w:rsid w:val="00A41513"/>
    <w:rsid w:val="00A42064"/>
    <w:rsid w:val="00A4290D"/>
    <w:rsid w:val="00A43081"/>
    <w:rsid w:val="00A4384A"/>
    <w:rsid w:val="00A45C60"/>
    <w:rsid w:val="00A47275"/>
    <w:rsid w:val="00A57424"/>
    <w:rsid w:val="00A57730"/>
    <w:rsid w:val="00A80F99"/>
    <w:rsid w:val="00A850CD"/>
    <w:rsid w:val="00A86283"/>
    <w:rsid w:val="00AA479F"/>
    <w:rsid w:val="00AA5879"/>
    <w:rsid w:val="00AA5D2B"/>
    <w:rsid w:val="00AB03FE"/>
    <w:rsid w:val="00AB569B"/>
    <w:rsid w:val="00AB7227"/>
    <w:rsid w:val="00AD0B26"/>
    <w:rsid w:val="00AD3FF3"/>
    <w:rsid w:val="00AE1B95"/>
    <w:rsid w:val="00AE20CB"/>
    <w:rsid w:val="00AF7A77"/>
    <w:rsid w:val="00B06B8B"/>
    <w:rsid w:val="00B27734"/>
    <w:rsid w:val="00B27BCC"/>
    <w:rsid w:val="00B341D9"/>
    <w:rsid w:val="00B649FF"/>
    <w:rsid w:val="00B7063E"/>
    <w:rsid w:val="00B7456C"/>
    <w:rsid w:val="00B91D39"/>
    <w:rsid w:val="00B93FDE"/>
    <w:rsid w:val="00B97A2B"/>
    <w:rsid w:val="00BA5C05"/>
    <w:rsid w:val="00BB632D"/>
    <w:rsid w:val="00BC3047"/>
    <w:rsid w:val="00BD0319"/>
    <w:rsid w:val="00BD7347"/>
    <w:rsid w:val="00C000A0"/>
    <w:rsid w:val="00C0704A"/>
    <w:rsid w:val="00C11E56"/>
    <w:rsid w:val="00C1642F"/>
    <w:rsid w:val="00C172B7"/>
    <w:rsid w:val="00C20B4A"/>
    <w:rsid w:val="00C221A0"/>
    <w:rsid w:val="00C248FF"/>
    <w:rsid w:val="00C32101"/>
    <w:rsid w:val="00C42FDE"/>
    <w:rsid w:val="00C438C2"/>
    <w:rsid w:val="00C44E43"/>
    <w:rsid w:val="00C5367D"/>
    <w:rsid w:val="00C576C9"/>
    <w:rsid w:val="00C65C24"/>
    <w:rsid w:val="00C91B6B"/>
    <w:rsid w:val="00C93CFC"/>
    <w:rsid w:val="00C94F53"/>
    <w:rsid w:val="00C96CF2"/>
    <w:rsid w:val="00CB244E"/>
    <w:rsid w:val="00CB661C"/>
    <w:rsid w:val="00CE1D37"/>
    <w:rsid w:val="00CE24A4"/>
    <w:rsid w:val="00CE5484"/>
    <w:rsid w:val="00CF0353"/>
    <w:rsid w:val="00CF591D"/>
    <w:rsid w:val="00CF5C99"/>
    <w:rsid w:val="00D0352A"/>
    <w:rsid w:val="00D12A78"/>
    <w:rsid w:val="00D173E8"/>
    <w:rsid w:val="00D26E7B"/>
    <w:rsid w:val="00D4003C"/>
    <w:rsid w:val="00D55667"/>
    <w:rsid w:val="00D6404E"/>
    <w:rsid w:val="00D726DF"/>
    <w:rsid w:val="00D73D96"/>
    <w:rsid w:val="00D74F75"/>
    <w:rsid w:val="00D90FB2"/>
    <w:rsid w:val="00D95DE6"/>
    <w:rsid w:val="00DD56BE"/>
    <w:rsid w:val="00DE3C83"/>
    <w:rsid w:val="00DF0487"/>
    <w:rsid w:val="00DF13F3"/>
    <w:rsid w:val="00E074BA"/>
    <w:rsid w:val="00E0787F"/>
    <w:rsid w:val="00E100DF"/>
    <w:rsid w:val="00E11F3E"/>
    <w:rsid w:val="00E23DB5"/>
    <w:rsid w:val="00E4034F"/>
    <w:rsid w:val="00E429B8"/>
    <w:rsid w:val="00E72F1F"/>
    <w:rsid w:val="00E761A0"/>
    <w:rsid w:val="00E858CC"/>
    <w:rsid w:val="00E92259"/>
    <w:rsid w:val="00EA37E7"/>
    <w:rsid w:val="00EB34D4"/>
    <w:rsid w:val="00EC6355"/>
    <w:rsid w:val="00ED3F23"/>
    <w:rsid w:val="00EE4DDF"/>
    <w:rsid w:val="00F0277D"/>
    <w:rsid w:val="00F02D97"/>
    <w:rsid w:val="00F07152"/>
    <w:rsid w:val="00F10E2A"/>
    <w:rsid w:val="00F36AA3"/>
    <w:rsid w:val="00F50B6F"/>
    <w:rsid w:val="00F548B7"/>
    <w:rsid w:val="00F57D2C"/>
    <w:rsid w:val="00F61151"/>
    <w:rsid w:val="00F879F6"/>
    <w:rsid w:val="00F92EF1"/>
    <w:rsid w:val="00F9362E"/>
    <w:rsid w:val="00F942DA"/>
    <w:rsid w:val="00F95989"/>
    <w:rsid w:val="00FA43E4"/>
    <w:rsid w:val="00FB3926"/>
    <w:rsid w:val="00FD5012"/>
    <w:rsid w:val="00FD73F1"/>
    <w:rsid w:val="00FD7B52"/>
    <w:rsid w:val="00FE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0332"/>
  <w15:chartTrackingRefBased/>
  <w15:docId w15:val="{DE37996E-B870-4DD0-8210-C7B1F90B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355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5C0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4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0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2A8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E07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070B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B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B244E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24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4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96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5C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AE6DC-F9DA-469E-A594-C9B9AD77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 Flin</cp:lastModifiedBy>
  <cp:revision>343</cp:revision>
  <cp:lastPrinted>2023-10-12T12:17:00Z</cp:lastPrinted>
  <dcterms:created xsi:type="dcterms:W3CDTF">2023-10-10T12:54:00Z</dcterms:created>
  <dcterms:modified xsi:type="dcterms:W3CDTF">2024-02-17T14:04:00Z</dcterms:modified>
</cp:coreProperties>
</file>