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44"/>
          <w:szCs w:val="44"/>
        </w:rPr>
        <w:t xml:space="preserve">RFC-0000</w:t>
      </w:r>
    </w:p>
    <w:p>
      <w:pPr>
        <w:spacing w:after="320"/>
        <w:jc w:val="center"/>
      </w:pPr>
      <w:r>
        <w:rPr>
          <w:i/>
          <w:iCs/>
          <w:color w:val="555555"/>
          <w:sz w:val="28"/>
          <w:szCs w:val="28"/>
        </w:rPr>
        <w:t xml:space="preserve">Philosophy &amp; Foundations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7000"/>
          </w:tcPr>
          <w:p>
            <w:r>
              <w:t xml:space="preserve">Draft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Автор</w:t>
            </w:r>
          </w:p>
        </w:tc>
        <w:tc>
          <w:tcPr>
            <w:tcW w:type="dxa" w:w="7000"/>
          </w:tcPr>
          <w:p>
            <w:r>
              <w:t xml:space="preserve">[заполнить]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7000"/>
          </w:tcPr>
          <w:p>
            <w:r>
              <w:t xml:space="preserve">0.1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Обновлено</w:t>
            </w:r>
          </w:p>
        </w:tc>
        <w:tc>
          <w:tcPr>
            <w:tcW w:type="dxa" w:w="7000"/>
          </w:tcPr>
          <w:p>
            <w:r>
              <w:t xml:space="preserve">2 июля 2026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/>
                <w:bCs/>
              </w:rPr>
              <w:t xml:space="preserve">Обсуждение</w:t>
            </w:r>
          </w:p>
        </w:tc>
        <w:tc>
          <w:tcPr>
            <w:tcW w:type="dxa" w:w="7000"/>
          </w:tcPr>
          <w:p>
            <w:r>
              <w:t xml:space="preserve">[ссылка на репозиторий / канал]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Abstract</w:t>
      </w:r>
    </w:p>
    <w:p>
      <w:pPr>
        <w:spacing w:after="160"/>
      </w:pPr>
      <w:r>
        <w:t xml:space="preserve">Мы строим инфраструктуру, которая хранит не статьи, а научные утверждения (claims) о здоровье — с явной силой доказательств, происхождением (provenance) и историей изменения научного консенсуса. Цель первой версии — не платформа на 100 млн публикаций, а маленькая, полностью объяснимая система на узком срезе предметной области, которая доказывает, что модель Claim → Evidence → Consensus работает и приносит пользу реальным пользователям.</w:t>
      </w:r>
    </w:p>
    <w:p>
      <w:pPr>
        <w:pStyle w:val="Heading1"/>
        <w:spacing w:after="160" w:before="320"/>
      </w:pPr>
      <w:r>
        <w:t xml:space="preserve">Motivation</w:t>
      </w:r>
    </w:p>
    <w:p>
      <w:pPr>
        <w:spacing w:after="160"/>
      </w:pPr>
      <w:r>
        <w:t xml:space="preserve">Медицинские рекомендации по добавкам и питанию сегодня противоречивы, разбросаны по тысячам исследований и быстро устаревают. Врач или разумный человек не может вручную отследить, как меняется научный консенсус по конкретному веществу. Существующие AI-чат-боты дают уверенные ответы без прозрачной привязки к источникам и без различения силы доказательств.</w:t>
      </w:r>
    </w:p>
    <w:p>
      <w:pPr>
        <w:pStyle w:val="Heading1"/>
        <w:spacing w:after="160" w:before="320"/>
      </w:pPr>
      <w:r>
        <w:t xml:space="preserve">Problem Statement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Нет открытого источника, где утверждение о веществе связано напрямую с конкретными исследованиями и уровнем доказательности (GRADE).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Мета-анализы и RCT по одному и тому же вопросу часто противоречат друг другу, и это противоречие нигде явно не показано пользователю.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Научный консенсус меняется со временем, но большинство источников показывают статичный текст без даты и истории пересмотра.</w:t>
      </w:r>
    </w:p>
    <w:p>
      <w:pPr>
        <w:spacing w:after="160"/>
      </w:pPr>
      <w:r>
        <w:t xml:space="preserve">Примечание: на этапе RFC-0000 у нас ещё нет количественных данных (сколько пользователей, какая частота запросов, какой объём рынка). Первая задача этапа валидации — получить эти цифры, а не постулировать их.</w:t>
      </w:r>
    </w:p>
    <w:p>
      <w:pPr>
        <w:pStyle w:val="Heading1"/>
        <w:spacing w:after="160" w:before="320"/>
      </w:pPr>
      <w:r>
        <w:t xml:space="preserve">Goals (v0)</w:t>
      </w:r>
    </w:p>
    <w:p>
      <w:pPr>
        <w:spacing w:after="160"/>
      </w:pPr>
      <w:r>
        <w:t xml:space="preserve">Цели первой проверяемой версии — намеренно узкие: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10–20 веществ (витамины, минералы, креатин, омега-3 и т.п.), не 100+.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Только мета-анализы, систематические обзоры и качественные RCT как источники.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Одна модель Claim: subject / population / intervention / outcome / effect / evidence level / sources.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Один граф (Neo4j или даже просто размеченный JSON) — без ClickHouse, Qdrant, RDF на этом этапе.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Проверка гипотезы: 3–5 реальных пользователей (нутрициологи, health-tech продакты, исследователи) находят это полезнее, чем обычный поиск или ChatGPT.</w:t>
      </w:r>
    </w:p>
    <w:p>
      <w:pPr>
        <w:pStyle w:val="Heading1"/>
        <w:spacing w:after="160" w:before="320"/>
      </w:pPr>
      <w:r>
        <w:t xml:space="preserve">Non-Goals (v0)</w:t>
      </w:r>
    </w:p>
    <w:p>
      <w:pPr>
        <w:spacing w:after="160"/>
      </w:pPr>
      <w:r>
        <w:t xml:space="preserve">Этот раздел защищает фокус так же сильно, как раздел Goals: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Мы НЕ строим медицинский диагноз или замену врача.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Мы НЕ строим универсальный чат-бот про здоровье.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Мы НЕ проектируем архитектуру на 100 млн публикаций и 10 млрд связей — это вопрос года 2–3, не месяца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Мы НЕ пишем 12 RFC и 20 ADR до первой работающей версии — решения по стеку принимаются по мере необходимости, а не заранее на 10 лет вперёд.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Мы НЕ разрабатываем собственный DSL на этом этапе — простой структурированный формат (JSON/таблица) достаточен, пока не доказано обратное.</w:t>
      </w:r>
    </w:p>
    <w:p>
      <w:pPr>
        <w:pStyle w:val="Heading1"/>
        <w:spacing w:after="160" w:before="320"/>
      </w:pPr>
      <w:r>
        <w:t xml:space="preserve">Terminology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shd w:fill="E8E8E8" w:val="clear"/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shd w:fill="E8E8E8" w:val="clear"/>
          </w:tcPr>
          <w:p>
            <w:r>
              <w:rPr>
                <w:b/>
                <w:bCs/>
              </w:rPr>
              <w:t xml:space="preserve">Определение</w:t>
            </w:r>
          </w:p>
        </w:tc>
      </w:tr>
      <w:tr>
        <w:tc>
          <w:tcPr>
            <w:tcW w:type="dxa" w:w="3200"/>
          </w:tcPr>
          <w:p>
            <w:r>
              <w:t xml:space="preserve">Evidence</w:t>
            </w:r>
          </w:p>
        </w:tc>
        <w:tc>
          <w:tcPr>
            <w:tcW w:type="dxa" w:w="6200"/>
          </w:tcPr>
          <w:p>
            <w:r>
              <w:t xml:space="preserve">Сырой результат одного исследования: эффект, выборка, дизайн, p-value и т.д.</w:t>
            </w:r>
          </w:p>
        </w:tc>
      </w:tr>
      <w:tr>
        <w:tc>
          <w:tcPr>
            <w:tcW w:type="dxa" w:w="3200"/>
          </w:tcPr>
          <w:p>
            <w:r>
              <w:t xml:space="preserve">Claim</w:t>
            </w:r>
          </w:p>
        </w:tc>
        <w:tc>
          <w:tcPr>
            <w:tcW w:type="dxa" w:w="6200"/>
          </w:tcPr>
          <w:p>
            <w:r>
              <w:t xml:space="preserve">Обобщённое утверждение, полученное из одного или нескольких Evidence: субъект, популяция, вмешательство, исход, эффект, уровень доказательности.</w:t>
            </w:r>
          </w:p>
        </w:tc>
      </w:tr>
      <w:tr>
        <w:tc>
          <w:tcPr>
            <w:tcW w:type="dxa" w:w="3200"/>
          </w:tcPr>
          <w:p>
            <w:r>
              <w:t xml:space="preserve">Consensus</w:t>
            </w:r>
          </w:p>
        </w:tc>
        <w:tc>
          <w:tcPr>
            <w:tcW w:type="dxa" w:w="6200"/>
          </w:tcPr>
          <w:p>
            <w:r>
              <w:t xml:space="preserve">Текущее состояние согласия научного сообщества по конкретному Claim, с явным уровнем уверенности и датой последнего пересмотра.</w:t>
            </w:r>
          </w:p>
        </w:tc>
      </w:tr>
      <w:tr>
        <w:tc>
          <w:tcPr>
            <w:tcW w:type="dxa" w:w="3200"/>
          </w:tcPr>
          <w:p>
            <w:r>
              <w:t xml:space="preserve">Knowledge</w:t>
            </w:r>
          </w:p>
        </w:tc>
        <w:tc>
          <w:tcPr>
            <w:tcW w:type="dxa" w:w="6200"/>
          </w:tcPr>
          <w:p>
            <w:r>
              <w:t xml:space="preserve">То, что система показывает пользователю: Claim + текущий Consensus + ссылки на источники.</w:t>
            </w:r>
          </w:p>
        </w:tc>
      </w:tr>
      <w:tr>
        <w:tc>
          <w:tcPr>
            <w:tcW w:type="dxa" w:w="3200"/>
          </w:tcPr>
          <w:p>
            <w:r>
              <w:t xml:space="preserve">Provenance</w:t>
            </w:r>
          </w:p>
        </w:tc>
        <w:tc>
          <w:tcPr>
            <w:tcW w:type="dxa" w:w="6200"/>
          </w:tcPr>
          <w:p>
            <w:r>
              <w:t xml:space="preserve">Полная цепочка происхождения вывода — от ответа пользователю до конкретного значения в конкретной статье.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First Principles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Knowledge is versioned — любое знание имеет историю изменений, а не единственное текущее состояние.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Knowledge is explainable — любой вывод можно раскрыть до конкретного исследования и значения.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Claims precede Knowledge — мы храним не текст статьи, а атомарные утверждения.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 has Provenance — источник, дата, версия и метод извлечения фиксируются для каждого факта.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Consensus evolves — нет 'окончательной истины', есть текущий уровень уверенности.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LLM is a probabilistic extractor, not an authority — финальное решение об уровне доказательности принимает Evidence Engine по явным правилам (например, GRADE), а не LLM.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Ship the narrowest version that tests the core hypothesis — архитектурные решения принимаются по мере появления реальных ограничений, а не заранее для гипотетического масштаба.</w:t>
      </w:r>
    </w:p>
    <w:p>
      <w:pPr>
        <w:pStyle w:val="Heading1"/>
        <w:spacing w:after="160" w:before="320"/>
      </w:pPr>
      <w:r>
        <w:t xml:space="preserve">Minimal Claim Model (пример)</w:t>
      </w:r>
    </w:p>
    <w:p>
      <w:pPr>
        <w:spacing w:after="160"/>
      </w:pPr>
      <w:r>
        <w:t xml:space="preserve">Пример одного Claim в простом структурированном виде — без собственного DSL, обычный JSON-подобный формат: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shd w:fill="E8E8E8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shd w:fill="E8E8E8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2600"/>
          </w:tcPr>
          <w:p>
            <w:r>
              <w:t xml:space="preserve">subject</w:t>
            </w:r>
          </w:p>
        </w:tc>
        <w:tc>
          <w:tcPr>
            <w:tcW w:type="dxa" w:w="6800"/>
          </w:tcPr>
          <w:p>
            <w:r>
              <w:t xml:space="preserve">Creatine</w:t>
            </w:r>
          </w:p>
        </w:tc>
      </w:tr>
      <w:tr>
        <w:tc>
          <w:tcPr>
            <w:tcW w:type="dxa" w:w="2600"/>
          </w:tcPr>
          <w:p>
            <w:r>
              <w:t xml:space="preserve">population</w:t>
            </w:r>
          </w:p>
        </w:tc>
        <w:tc>
          <w:tcPr>
            <w:tcW w:type="dxa" w:w="6800"/>
          </w:tcPr>
          <w:p>
            <w:r>
              <w:t xml:space="preserve">Здоровые взрослые</w:t>
            </w:r>
          </w:p>
        </w:tc>
      </w:tr>
      <w:tr>
        <w:tc>
          <w:tcPr>
            <w:tcW w:type="dxa" w:w="2600"/>
          </w:tcPr>
          <w:p>
            <w:r>
              <w:t xml:space="preserve">intervention</w:t>
            </w:r>
          </w:p>
        </w:tc>
        <w:tc>
          <w:tcPr>
            <w:tcW w:type="dxa" w:w="6800"/>
          </w:tcPr>
          <w:p>
            <w:r>
              <w:t xml:space="preserve">5 г/день + силовые тренировки</w:t>
            </w:r>
          </w:p>
        </w:tc>
      </w:tr>
      <w:tr>
        <w:tc>
          <w:tcPr>
            <w:tcW w:type="dxa" w:w="2600"/>
          </w:tcPr>
          <w:p>
            <w:r>
              <w:t xml:space="preserve">comparator</w:t>
            </w:r>
          </w:p>
        </w:tc>
        <w:tc>
          <w:tcPr>
            <w:tcW w:type="dxa" w:w="6800"/>
          </w:tcPr>
          <w:p>
            <w:r>
              <w:t xml:space="preserve">Плацебо</w:t>
            </w:r>
          </w:p>
        </w:tc>
      </w:tr>
      <w:tr>
        <w:tc>
          <w:tcPr>
            <w:tcW w:type="dxa" w:w="2600"/>
          </w:tcPr>
          <w:p>
            <w:r>
              <w:t xml:space="preserve">outcome</w:t>
            </w:r>
          </w:p>
        </w:tc>
        <w:tc>
          <w:tcPr>
            <w:tcW w:type="dxa" w:w="6800"/>
          </w:tcPr>
          <w:p>
            <w:r>
              <w:t xml:space="preserve">Мышечная сила</w:t>
            </w:r>
          </w:p>
        </w:tc>
      </w:tr>
      <w:tr>
        <w:tc>
          <w:tcPr>
            <w:tcW w:type="dxa" w:w="2600"/>
          </w:tcPr>
          <w:p>
            <w:r>
              <w:t xml:space="preserve">effect</w:t>
            </w:r>
          </w:p>
        </w:tc>
        <w:tc>
          <w:tcPr>
            <w:tcW w:type="dxa" w:w="6800"/>
          </w:tcPr>
          <w:p>
            <w:r>
              <w:t xml:space="preserve">+8%</w:t>
            </w:r>
          </w:p>
        </w:tc>
      </w:tr>
      <w:tr>
        <w:tc>
          <w:tcPr>
            <w:tcW w:type="dxa" w:w="2600"/>
          </w:tcPr>
          <w:p>
            <w:r>
              <w:t xml:space="preserve">evidence_level</w:t>
            </w:r>
          </w:p>
        </w:tc>
        <w:tc>
          <w:tcPr>
            <w:tcW w:type="dxa" w:w="6800"/>
          </w:tcPr>
          <w:p>
            <w:r>
              <w:t xml:space="preserve">High (GRADE)</w:t>
            </w:r>
          </w:p>
        </w:tc>
      </w:tr>
      <w:tr>
        <w:tc>
          <w:tcPr>
            <w:tcW w:type="dxa" w:w="2600"/>
          </w:tcPr>
          <w:p>
            <w:r>
              <w:t xml:space="preserve">consensus_confidence</w:t>
            </w:r>
          </w:p>
        </w:tc>
        <w:tc>
          <w:tcPr>
            <w:tcW w:type="dxa" w:w="6800"/>
          </w:tcPr>
          <w:p>
            <w:r>
              <w:t xml:space="preserve">0.94</w:t>
            </w:r>
          </w:p>
        </w:tc>
      </w:tr>
      <w:tr>
        <w:tc>
          <w:tcPr>
            <w:tcW w:type="dxa" w:w="2600"/>
          </w:tcPr>
          <w:p>
            <w:r>
              <w:t xml:space="preserve">sources</w:t>
            </w:r>
          </w:p>
        </w:tc>
        <w:tc>
          <w:tcPr>
            <w:tcW w:type="dxa" w:w="6800"/>
          </w:tcPr>
          <w:p>
            <w:r>
              <w:t xml:space="preserve">[список исследований]</w:t>
            </w:r>
          </w:p>
        </w:tc>
      </w:tr>
      <w:tr>
        <w:tc>
          <w:tcPr>
            <w:tcW w:type="dxa" w:w="2600"/>
          </w:tcPr>
          <w:p>
            <w:r>
              <w:t xml:space="preserve">last_updated</w:t>
            </w:r>
          </w:p>
        </w:tc>
        <w:tc>
          <w:tcPr>
            <w:tcW w:type="dxa" w:w="6800"/>
          </w:tcPr>
          <w:p>
            <w:r>
              <w:t xml:space="preserve">дата последнего пересмотра</w:t>
            </w:r>
          </w:p>
        </w:tc>
      </w:tr>
    </w:tbl>
    <w:p>
      <w:pPr>
        <w:pStyle w:val="Heading1"/>
        <w:spacing w:after="160" w:before="320"/>
      </w:pPr>
      <w:r>
        <w:t xml:space="preserve">Immediate Next Steps</w:t>
      </w:r>
    </w:p>
    <w:p>
      <w:pPr>
        <w:spacing w:after="160"/>
      </w:pPr>
      <w:r>
        <w:t xml:space="preserve">Вместо параллельного написания 10+ RFC и ADR — последовательность, которая быстрее проверяет саму идею: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Зафиксировать этот документ как единственный источник философии проекта (RFC-0000).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Выбрать 10–20 веществ и вручную (или полу-автоматически) собрать по ним Claims из мета-анализов и RCT.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Построить минимальный граф/таблицу без ClickHouse/Qdrant/RDF — Neo4j или даже плоский JSON.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Показать это 3–5 реальным потенциальным пользователям и получить содержательную обратную связь.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Только после этого — писать ADR по вопросам, которые реально возникли (масштабирование, выбор графовой БД, DSL), а не по гипотетическим.</w:t>
      </w:r>
    </w:p>
    <w:p>
      <w:pPr>
        <w:pBdr>
          <w:bottom w:val="single" w:color="AAAAAA" w:sz="6" w:space="4"/>
        </w:pBdr>
        <w:spacing w:after="240"/>
      </w:pPr>
    </w:p>
    <w:p>
      <w:pPr>
        <w:spacing w:after="160"/>
      </w:pPr>
      <w:r>
        <w:rPr>
          <w:i/>
          <w:iCs/>
          <w:color w:val="666666"/>
        </w:rPr>
        <w:t xml:space="preserve">Все последующие документы (Vision, Ontology, Architecture) ссылаются на этот RFC-0000, но не создаются, пока гипотеза Claim → Consensus → Knowledge не подтверждена на узком срезе.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2026-07-02T09:04:34.518Z</dcterms:created>
  <dcterms:modified xsi:type="dcterms:W3CDTF">2026-07-02T09:04:34.519Z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