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44"/>
          <w:szCs w:val="44"/>
        </w:rPr>
        <w:t xml:space="preserve">RFC-0001</w:t>
      </w:r>
    </w:p>
    <w:p>
      <w:pPr>
        <w:spacing w:after="320"/>
        <w:jc w:val="center"/>
      </w:pPr>
      <w:r>
        <w:rPr>
          <w:i/>
          <w:iCs/>
          <w:color w:val="555555"/>
          <w:sz w:val="28"/>
          <w:szCs w:val="28"/>
        </w:rPr>
        <w:t xml:space="preserve">Technical Specification — v0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7000"/>
          </w:tcPr>
          <w:p>
            <w:r>
              <w:t xml:space="preserve">Draft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Автор</w:t>
            </w:r>
          </w:p>
        </w:tc>
        <w:tc>
          <w:tcPr>
            <w:tcW w:type="dxa" w:w="7000"/>
          </w:tcPr>
          <w:p>
            <w:r>
              <w:t xml:space="preserve">[заполнить]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7000"/>
          </w:tcPr>
          <w:p>
            <w:r>
              <w:t xml:space="preserve">0.1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Обновлено</w:t>
            </w:r>
          </w:p>
        </w:tc>
        <w:tc>
          <w:tcPr>
            <w:tcW w:type="dxa" w:w="7000"/>
          </w:tcPr>
          <w:p>
            <w:r>
              <w:t xml:space="preserve">2 июля 2026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Ссылается на</w:t>
            </w:r>
          </w:p>
        </w:tc>
        <w:tc>
          <w:tcPr>
            <w:tcW w:type="dxa" w:w="7000"/>
          </w:tcPr>
          <w:p>
            <w:r>
              <w:t xml:space="preserve">RFC-0000 (Philosophy &amp; Foundations)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Abstract</w:t>
      </w:r>
    </w:p>
    <w:p>
      <w:pPr>
        <w:spacing w:after="160"/>
      </w:pPr>
      <w:r>
        <w:t xml:space="preserve">Этот документ переводит принципы RFC-0000 в конкретные технические решения, достаточные для того, чтобы начать писать код v0: типизированную схему Claim, API-контракт, стартовые правила Evidence Engine, структуру репозитория, процесс верификации и критерии готовности v0. Все решения здесь — намеренно минимальные и заменяемые: они выбраны, чтобы разблокировать разработку, а не чтобы зафиксировать архитектуру на годы вперёд.</w:t>
      </w:r>
    </w:p>
    <w:p>
      <w:pPr>
        <w:pStyle w:val="Heading1"/>
        <w:spacing w:after="160" w:before="320"/>
      </w:pPr>
      <w:r>
        <w:t xml:space="preserve">1. Стек v0 (конкретный выбор)</w:t>
      </w:r>
    </w:p>
    <w:p>
      <w:pPr>
        <w:spacing w:after="160"/>
      </w:pPr>
      <w:r>
        <w:t xml:space="preserve">Один явный выбор на старте — не потому что эти технологии лучшие навсегда, а потому что с чего-то нужно начать: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rPr>
          <w:tblHeader/>
        </w:trPr>
        <w:tc>
          <w:tcPr>
            <w:shd w:fill="E8E8E8" w:val="clea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Выбор для v0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Причина</w:t>
            </w:r>
          </w:p>
        </w:tc>
      </w:tr>
      <w:tr>
        <w:tc>
          <w:tcPr>
            <w:tcW w:type="dxa" w:w="1600"/>
          </w:tcPr>
          <w:p>
            <w:r>
              <w:t xml:space="preserve">Язык</w:t>
            </w:r>
          </w:p>
        </w:tc>
        <w:tc>
          <w:tcPr>
            <w:tcW w:type="dxa" w:w="3400"/>
          </w:tcPr>
          <w:p>
            <w:r>
              <w:t xml:space="preserve">Python 3.11+</w:t>
            </w:r>
          </w:p>
        </w:tc>
        <w:tc>
          <w:tcPr>
            <w:tcW w:type="dxa" w:w="4400"/>
          </w:tcPr>
          <w:p>
            <w:r>
              <w:t xml:space="preserve">Экосистема для LLM-пайплайнов и NLP</w:t>
            </w:r>
          </w:p>
        </w:tc>
      </w:tr>
      <w:tr>
        <w:tc>
          <w:tcPr>
            <w:tcW w:type="dxa" w:w="1600"/>
          </w:tcPr>
          <w:p>
            <w:r>
              <w:t xml:space="preserve">API-фреймворк</w:t>
            </w:r>
          </w:p>
        </w:tc>
        <w:tc>
          <w:tcPr>
            <w:tcW w:type="dxa" w:w="3400"/>
          </w:tcPr>
          <w:p>
            <w:r>
              <w:t xml:space="preserve">FastAPI</w:t>
            </w:r>
          </w:p>
        </w:tc>
        <w:tc>
          <w:tcPr>
            <w:tcW w:type="dxa" w:w="4400"/>
          </w:tcPr>
          <w:p>
            <w:r>
              <w:t xml:space="preserve">Быстрая типизация через Pydantic, автогенерация OpenAPI</w:t>
            </w:r>
          </w:p>
        </w:tc>
      </w:tr>
      <w:tr>
        <w:tc>
          <w:tcPr>
            <w:tcW w:type="dxa" w:w="1600"/>
          </w:tcPr>
          <w:p>
            <w:r>
              <w:t xml:space="preserve">БД</w:t>
            </w:r>
          </w:p>
        </w:tc>
        <w:tc>
          <w:tcPr>
            <w:tcW w:type="dxa" w:w="3400"/>
          </w:tcPr>
          <w:p>
            <w:r>
              <w:t xml:space="preserve">PostgreSQL 15+ (JSONB)</w:t>
            </w:r>
          </w:p>
        </w:tc>
        <w:tc>
          <w:tcPr>
            <w:tcW w:type="dxa" w:w="4400"/>
          </w:tcPr>
          <w:p>
            <w:r>
              <w:t xml:space="preserve">Claim как JSONB-документ, без графовой БД пока не доказана потребность</w:t>
            </w:r>
          </w:p>
        </w:tc>
      </w:tr>
      <w:tr>
        <w:tc>
          <w:tcPr>
            <w:tcW w:type="dxa" w:w="1600"/>
          </w:tcPr>
          <w:p>
            <w:r>
              <w:t xml:space="preserve">ORM/валидация</w:t>
            </w:r>
          </w:p>
        </w:tc>
        <w:tc>
          <w:tcPr>
            <w:tcW w:type="dxa" w:w="3400"/>
          </w:tcPr>
          <w:p>
            <w:r>
              <w:t xml:space="preserve">SQLAlchemy 2.0 + Pydantic v2</w:t>
            </w:r>
          </w:p>
        </w:tc>
        <w:tc>
          <w:tcPr>
            <w:tcW w:type="dxa" w:w="4400"/>
          </w:tcPr>
          <w:p>
            <w:r>
              <w:t xml:space="preserve">Стандарт де-факто, минимум магии</w:t>
            </w:r>
          </w:p>
        </w:tc>
      </w:tr>
      <w:tr>
        <w:tc>
          <w:tcPr>
            <w:tcW w:type="dxa" w:w="1600"/>
          </w:tcPr>
          <w:p>
            <w:r>
              <w:t xml:space="preserve">LLM-извлечение</w:t>
            </w:r>
          </w:p>
        </w:tc>
        <w:tc>
          <w:tcPr>
            <w:tcW w:type="dxa" w:w="3400"/>
          </w:tcPr>
          <w:p>
            <w:r>
              <w:t xml:space="preserve">Один провайдер (например, Claude API)</w:t>
            </w:r>
          </w:p>
        </w:tc>
        <w:tc>
          <w:tcPr>
            <w:tcW w:type="dxa" w:w="4400"/>
          </w:tcPr>
          <w:p>
            <w:r>
              <w:t xml:space="preserve">Не оркестр агентов — один вызов с чёткой схемой на выходе</w:t>
            </w:r>
          </w:p>
        </w:tc>
      </w:tr>
      <w:tr>
        <w:tc>
          <w:tcPr>
            <w:tcW w:type="dxa" w:w="1600"/>
          </w:tcPr>
          <w:p>
            <w:r>
              <w:t xml:space="preserve">Тесты</w:t>
            </w:r>
          </w:p>
        </w:tc>
        <w:tc>
          <w:tcPr>
            <w:tcW w:type="dxa" w:w="3400"/>
          </w:tcPr>
          <w:p>
            <w:r>
              <w:t xml:space="preserve">pytest</w:t>
            </w:r>
          </w:p>
        </w:tc>
        <w:tc>
          <w:tcPr>
            <w:tcW w:type="dxa" w:w="4400"/>
          </w:tcPr>
          <w:p>
            <w:r>
              <w:t xml:space="preserve">Стандарт для Python</w:t>
            </w:r>
          </w:p>
        </w:tc>
      </w:tr>
      <w:tr>
        <w:tc>
          <w:tcPr>
            <w:tcW w:type="dxa" w:w="1600"/>
          </w:tcPr>
          <w:p>
            <w:r>
              <w:t xml:space="preserve">Локальный запуск</w:t>
            </w:r>
          </w:p>
        </w:tc>
        <w:tc>
          <w:tcPr>
            <w:tcW w:type="dxa" w:w="3400"/>
          </w:tcPr>
          <w:p>
            <w:r>
              <w:t xml:space="preserve">docker-compose (api + postgres)</w:t>
            </w:r>
          </w:p>
        </w:tc>
        <w:tc>
          <w:tcPr>
            <w:tcW w:type="dxa" w:w="4400"/>
          </w:tcPr>
          <w:p>
            <w:r>
              <w:t xml:space="preserve">Воспроизводимость среды без Kubernetes</w:t>
            </w:r>
          </w:p>
        </w:tc>
      </w:tr>
    </w:tbl>
    <w:p>
      <w:pPr>
        <w:spacing w:after="160"/>
      </w:pPr>
      <w:r>
        <w:rPr>
          <w:i/>
          <w:iCs/>
          <w:color w:val="666666"/>
        </w:rPr>
        <w:t xml:space="preserve">Если по ходу разработки любой пункт окажется неудобным — меняем. Это не ADR на десятилетие, это стартовая точка.</w:t>
      </w:r>
    </w:p>
    <w:p>
      <w:pPr>
        <w:pStyle w:val="Heading1"/>
        <w:spacing w:after="160" w:before="320"/>
      </w:pPr>
      <w:r>
        <w:t xml:space="preserve">2. Claim — полная схема</w:t>
      </w:r>
    </w:p>
    <w:p>
      <w:pPr>
        <w:spacing w:after="160"/>
      </w:pPr>
      <w:r>
        <w:t xml:space="preserve">Расширение примера из RFC-0000 до типизированной схемы, готовой к реализации как Pydantic-модель: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2600"/>
      </w:tblGrid>
      <w:tr>
        <w:trPr>
          <w:tblHeader/>
        </w:trPr>
        <w:tc>
          <w:tcPr>
            <w:shd w:fill="E8E8E8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Обязательное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24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UUID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>генерируется при создании</w:t>
            </w:r>
          </w:p>
        </w:tc>
      </w:tr>
      <w:tr>
        <w:tc>
          <w:tcPr>
            <w:tcW w:type="dxa" w:w="2400"/>
          </w:tcPr>
          <w:p>
            <w:r>
              <w:t xml:space="preserve">subject</w:t>
            </w:r>
          </w:p>
        </w:tc>
        <w:tc>
          <w:tcPr>
            <w:tcW w:type="dxa" w:w="3000"/>
          </w:tcPr>
          <w:p>
            <w: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>название вещества; в v0 — просто строка, не FK</w:t>
            </w:r>
          </w:p>
        </w:tc>
      </w:tr>
      <w:tr>
        <w:tc>
          <w:tcPr>
            <w:tcW w:type="dxa" w:w="2400"/>
          </w:tcPr>
          <w:p>
            <w:r>
              <w:t xml:space="preserve">population</w:t>
            </w:r>
          </w:p>
        </w:tc>
        <w:tc>
          <w:tcPr>
            <w:tcW w:type="dxa" w:w="3000"/>
          </w:tcPr>
          <w:p>
            <w: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>например, 'здоровые взрослые'</w:t>
            </w:r>
          </w:p>
        </w:tc>
      </w:tr>
      <w:tr>
        <w:tc>
          <w:tcPr>
            <w:tcW w:type="dxa" w:w="2400"/>
          </w:tcPr>
          <w:p>
            <w:r>
              <w:t xml:space="preserve">intervention.description</w:t>
            </w:r>
          </w:p>
        </w:tc>
        <w:tc>
          <w:tcPr>
            <w:tcW w:type="dxa" w:w="3000"/>
          </w:tcPr>
          <w:p>
            <w: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/>
            </w:r>
          </w:p>
        </w:tc>
      </w:tr>
      <w:tr>
        <w:tc>
          <w:tcPr>
            <w:tcW w:type="dxa" w:w="2400"/>
          </w:tcPr>
          <w:p>
            <w:r>
              <w:t xml:space="preserve">intervention.dose</w:t>
            </w:r>
          </w:p>
        </w:tc>
        <w:tc>
          <w:tcPr>
            <w:tcW w:type="dxa" w:w="3000"/>
          </w:tcPr>
          <w:p>
            <w:r>
              <w:t xml:space="preserve">string | null</w:t>
            </w:r>
          </w:p>
        </w:tc>
        <w:tc>
          <w:tcPr>
            <w:tcW w:type="dxa" w:w="1400"/>
          </w:tcPr>
          <w:p>
            <w:r>
              <w:t xml:space="preserve">нет</w:t>
            </w:r>
          </w:p>
        </w:tc>
        <w:tc>
          <w:tcPr>
            <w:tcW w:type="dxa" w:w="2600"/>
          </w:tcPr>
          <w:p>
            <w:r>
              <w:t xml:space="preserve">например, '5 г/день'</w:t>
            </w:r>
          </w:p>
        </w:tc>
      </w:tr>
      <w:tr>
        <w:tc>
          <w:tcPr>
            <w:tcW w:type="dxa" w:w="2400"/>
          </w:tcPr>
          <w:p>
            <w:r>
              <w:t xml:space="preserve">intervention.duration</w:t>
            </w:r>
          </w:p>
        </w:tc>
        <w:tc>
          <w:tcPr>
            <w:tcW w:type="dxa" w:w="3000"/>
          </w:tcPr>
          <w:p>
            <w:r>
              <w:t xml:space="preserve">string | null</w:t>
            </w:r>
          </w:p>
        </w:tc>
        <w:tc>
          <w:tcPr>
            <w:tcW w:type="dxa" w:w="1400"/>
          </w:tcPr>
          <w:p>
            <w:r>
              <w:t xml:space="preserve">нет</w:t>
            </w:r>
          </w:p>
        </w:tc>
        <w:tc>
          <w:tcPr>
            <w:tcW w:type="dxa" w:w="2600"/>
          </w:tcPr>
          <w:p>
            <w:r>
              <w:t xml:space="preserve">например, '12 недель'</w:t>
            </w:r>
          </w:p>
        </w:tc>
      </w:tr>
      <w:tr>
        <w:tc>
          <w:tcPr>
            <w:tcW w:type="dxa" w:w="2400"/>
          </w:tcPr>
          <w:p>
            <w:r>
              <w:t xml:space="preserve">comparator</w:t>
            </w:r>
          </w:p>
        </w:tc>
        <w:tc>
          <w:tcPr>
            <w:tcW w:type="dxa" w:w="3000"/>
          </w:tcPr>
          <w:p>
            <w:r>
              <w:t xml:space="preserve">string | null</w:t>
            </w:r>
          </w:p>
        </w:tc>
        <w:tc>
          <w:tcPr>
            <w:tcW w:type="dxa" w:w="1400"/>
          </w:tcPr>
          <w:p>
            <w:r>
              <w:t xml:space="preserve">нет</w:t>
            </w:r>
          </w:p>
        </w:tc>
        <w:tc>
          <w:tcPr>
            <w:tcW w:type="dxa" w:w="2600"/>
          </w:tcPr>
          <w:p>
            <w:r>
              <w:t xml:space="preserve">например, 'плацебо'</w:t>
            </w:r>
          </w:p>
        </w:tc>
      </w:tr>
      <w:tr>
        <w:tc>
          <w:tcPr>
            <w:tcW w:type="dxa" w:w="2400"/>
          </w:tcPr>
          <w:p>
            <w:r>
              <w:t xml:space="preserve">outcome</w:t>
            </w:r>
          </w:p>
        </w:tc>
        <w:tc>
          <w:tcPr>
            <w:tcW w:type="dxa" w:w="3000"/>
          </w:tcPr>
          <w:p>
            <w: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/>
            </w:r>
          </w:p>
        </w:tc>
      </w:tr>
      <w:tr>
        <w:tc>
          <w:tcPr>
            <w:tcW w:type="dxa" w:w="2400"/>
          </w:tcPr>
          <w:p>
            <w:r>
              <w:t xml:space="preserve">effect.direction</w:t>
            </w:r>
          </w:p>
        </w:tc>
        <w:tc>
          <w:tcPr>
            <w:tcW w:type="dxa" w:w="3000"/>
          </w:tcPr>
          <w:p>
            <w:r>
              <w:t xml:space="preserve">enum: increase | decrease | no_effect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/>
            </w:r>
          </w:p>
        </w:tc>
      </w:tr>
      <w:tr>
        <w:tc>
          <w:tcPr>
            <w:tcW w:type="dxa" w:w="2400"/>
          </w:tcPr>
          <w:p>
            <w:r>
              <w:t xml:space="preserve">effect.magnitude</w:t>
            </w:r>
          </w:p>
        </w:tc>
        <w:tc>
          <w:tcPr>
            <w:tcW w:type="dxa" w:w="3000"/>
          </w:tcPr>
          <w:p>
            <w:r>
              <w:t xml:space="preserve">string | null</w:t>
            </w:r>
          </w:p>
        </w:tc>
        <w:tc>
          <w:tcPr>
            <w:tcW w:type="dxa" w:w="1400"/>
          </w:tcPr>
          <w:p>
            <w:r>
              <w:t xml:space="preserve">нет</w:t>
            </w:r>
          </w:p>
        </w:tc>
        <w:tc>
          <w:tcPr>
            <w:tcW w:type="dxa" w:w="2600"/>
          </w:tcPr>
          <w:p>
            <w:r>
              <w:t xml:space="preserve">например, '+8%'</w:t>
            </w:r>
          </w:p>
        </w:tc>
      </w:tr>
      <w:tr>
        <w:tc>
          <w:tcPr>
            <w:tcW w:type="dxa" w:w="2400"/>
          </w:tcPr>
          <w:p>
            <w:r>
              <w:t xml:space="preserve">effect.ci_lower / ci_upper</w:t>
            </w:r>
          </w:p>
        </w:tc>
        <w:tc>
          <w:tcPr>
            <w:tcW w:type="dxa" w:w="3000"/>
          </w:tcPr>
          <w:p>
            <w:r>
              <w:t xml:space="preserve">number | null</w:t>
            </w:r>
          </w:p>
        </w:tc>
        <w:tc>
          <w:tcPr>
            <w:tcW w:type="dxa" w:w="1400"/>
          </w:tcPr>
          <w:p>
            <w:r>
              <w:t xml:space="preserve">нет</w:t>
            </w:r>
          </w:p>
        </w:tc>
        <w:tc>
          <w:tcPr>
            <w:tcW w:type="dxa" w:w="2600"/>
          </w:tcPr>
          <w:p>
            <w:r>
              <w:t xml:space="preserve">доверительный интервал</w:t>
            </w:r>
          </w:p>
        </w:tc>
      </w:tr>
      <w:tr>
        <w:tc>
          <w:tcPr>
            <w:tcW w:type="dxa" w:w="2400"/>
          </w:tcPr>
          <w:p>
            <w:r>
              <w:t xml:space="preserve">effect.p_value</w:t>
            </w:r>
          </w:p>
        </w:tc>
        <w:tc>
          <w:tcPr>
            <w:tcW w:type="dxa" w:w="3000"/>
          </w:tcPr>
          <w:p>
            <w:r>
              <w:t xml:space="preserve">number | null</w:t>
            </w:r>
          </w:p>
        </w:tc>
        <w:tc>
          <w:tcPr>
            <w:tcW w:type="dxa" w:w="1400"/>
          </w:tcPr>
          <w:p>
            <w:r>
              <w:t xml:space="preserve">нет</w:t>
            </w:r>
          </w:p>
        </w:tc>
        <w:tc>
          <w:tcPr>
            <w:tcW w:type="dxa" w:w="2600"/>
          </w:tcPr>
          <w:p>
            <w:r>
              <w:t xml:space="preserve"/>
            </w:r>
          </w:p>
        </w:tc>
      </w:tr>
      <w:tr>
        <w:tc>
          <w:tcPr>
            <w:tcW w:type="dxa" w:w="2400"/>
          </w:tcPr>
          <w:p>
            <w:r>
              <w:t xml:space="preserve">evidence_level</w:t>
            </w:r>
          </w:p>
        </w:tc>
        <w:tc>
          <w:tcPr>
            <w:tcW w:type="dxa" w:w="3000"/>
          </w:tcPr>
          <w:p>
            <w:r>
              <w:t xml:space="preserve">enum: high | moderate | low | very_low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>рассчитывается Evidence Engine, не LLM</w:t>
            </w:r>
          </w:p>
        </w:tc>
      </w:tr>
      <w:tr>
        <w:tc>
          <w:tcPr>
            <w:tcW w:type="dxa" w:w="2400"/>
          </w:tcPr>
          <w:p>
            <w:r>
              <w:t xml:space="preserve">consensus_confidence</w:t>
            </w:r>
          </w:p>
        </w:tc>
        <w:tc>
          <w:tcPr>
            <w:tcW w:type="dxa" w:w="3000"/>
          </w:tcPr>
          <w:p>
            <w:r>
              <w:t xml:space="preserve">float 0.0–1.0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>доля согласующихся источников</w:t>
            </w:r>
          </w:p>
        </w:tc>
      </w:tr>
      <w:tr>
        <w:tc>
          <w:tcPr>
            <w:tcW w:type="dxa" w:w="2400"/>
          </w:tcPr>
          <w:p>
            <w:r>
              <w:t xml:space="preserve">sources</w:t>
            </w:r>
          </w:p>
        </w:tc>
        <w:tc>
          <w:tcPr>
            <w:tcW w:type="dxa" w:w="3000"/>
          </w:tcPr>
          <w:p>
            <w:r>
              <w:t xml:space="preserve">array of {study_id, pmid_or_doi, study_type, year}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>минимум 1 элемент</w:t>
            </w:r>
          </w:p>
        </w:tc>
      </w:tr>
      <w:tr>
        <w:tc>
          <w:tcPr>
            <w:tcW w:type="dxa" w:w="2400"/>
          </w:tcPr>
          <w:p>
            <w:r>
              <w:t xml:space="preserve">status</w:t>
            </w:r>
          </w:p>
        </w:tc>
        <w:tc>
          <w:tcPr>
            <w:tcW w:type="dxa" w:w="3000"/>
          </w:tcPr>
          <w:p>
            <w:r>
              <w:t xml:space="preserve">enum: draft | verified | published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>см. раздел 5</w:t>
            </w:r>
          </w:p>
        </w:tc>
      </w:tr>
      <w:tr>
        <w:tc>
          <w:tcPr>
            <w:tcW w:type="dxa" w:w="2400"/>
          </w:tcPr>
          <w:p>
            <w:r>
              <w:t xml:space="preserve">verified_by</w:t>
            </w:r>
          </w:p>
        </w:tc>
        <w:tc>
          <w:tcPr>
            <w:tcW w:type="dxa" w:w="3000"/>
          </w:tcPr>
          <w:p>
            <w:r>
              <w:t xml:space="preserve">string | null</w:t>
            </w:r>
          </w:p>
        </w:tc>
        <w:tc>
          <w:tcPr>
            <w:tcW w:type="dxa" w:w="1400"/>
          </w:tcPr>
          <w:p>
            <w:r>
              <w:t xml:space="preserve">да, если status != draft</w:t>
            </w:r>
          </w:p>
        </w:tc>
        <w:tc>
          <w:tcPr>
            <w:tcW w:type="dxa" w:w="2600"/>
          </w:tcPr>
          <w:p>
            <w:r>
              <w:t xml:space="preserve">имя/id проверяющего</w:t>
            </w:r>
          </w:p>
        </w:tc>
      </w:tr>
      <w:tr>
        <w:tc>
          <w:tcPr>
            <w:tcW w:type="dxa" w:w="2400"/>
          </w:tcPr>
          <w:p>
            <w:r>
              <w:t xml:space="preserve">created_at / updated_at</w:t>
            </w:r>
          </w:p>
        </w:tc>
        <w:tc>
          <w:tcPr>
            <w:tcW w:type="dxa" w:w="3000"/>
          </w:tcPr>
          <w:p>
            <w:r>
              <w:t xml:space="preserve">timestamp</w:t>
            </w:r>
          </w:p>
        </w:tc>
        <w:tc>
          <w:tcPr>
            <w:tcW w:type="dxa" w:w="1400"/>
          </w:tcPr>
          <w:p>
            <w:r>
              <w:t xml:space="preserve">да</w:t>
            </w:r>
          </w:p>
        </w:tc>
        <w:tc>
          <w:tcPr>
            <w:tcW w:type="dxa" w:w="2600"/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20"/>
      </w:pPr>
      <w:r>
        <w:t xml:space="preserve">3. Evidence Engine — стартовые правила</w:t>
      </w:r>
    </w:p>
    <w:p>
      <w:pPr>
        <w:spacing w:after="160"/>
      </w:pPr>
      <w:r>
        <w:t xml:space="preserve">Упрощённая версия GRADE, достаточная для v0. Не полная реализация — явно зафиксировано как временное приближение: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shd w:fill="E8E8E8" w:val="clear"/>
          </w:tcPr>
          <w:p>
            <w:r>
              <w:rPr>
                <w:b/>
                <w:bCs/>
              </w:rPr>
              <w:t xml:space="preserve">Тип источника (study_type)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Базовый evidence_level</w:t>
            </w:r>
          </w:p>
        </w:tc>
      </w:tr>
      <w:tr>
        <w:tc>
          <w:tcPr>
            <w:tcW w:type="dxa" w:w="4700"/>
          </w:tcPr>
          <w:p>
            <w:r>
              <w:t xml:space="preserve">Мета-анализ RCT / систематический обзор</w:t>
            </w:r>
          </w:p>
        </w:tc>
        <w:tc>
          <w:tcPr>
            <w:tcW w:type="dxa" w:w="4700"/>
          </w:tcPr>
          <w:p>
            <w:r>
              <w:t xml:space="preserve">high</w:t>
            </w:r>
          </w:p>
        </w:tc>
      </w:tr>
      <w:tr>
        <w:tc>
          <w:tcPr>
            <w:tcW w:type="dxa" w:w="4700"/>
          </w:tcPr>
          <w:p>
            <w:r>
              <w:t xml:space="preserve">Одиночное RCT хорошего качества</w:t>
            </w:r>
          </w:p>
        </w:tc>
        <w:tc>
          <w:tcPr>
            <w:tcW w:type="dxa" w:w="4700"/>
          </w:tcPr>
          <w:p>
            <w:r>
              <w:t xml:space="preserve">moderate</w:t>
            </w:r>
          </w:p>
        </w:tc>
      </w:tr>
      <w:tr>
        <w:tc>
          <w:tcPr>
            <w:tcW w:type="dxa" w:w="4700"/>
          </w:tcPr>
          <w:p>
            <w:r>
              <w:t xml:space="preserve">Когортное / обсервационное исследование</w:t>
            </w:r>
          </w:p>
        </w:tc>
        <w:tc>
          <w:tcPr>
            <w:tcW w:type="dxa" w:w="4700"/>
          </w:tcPr>
          <w:p>
            <w:r>
              <w:t xml:space="preserve">low</w:t>
            </w:r>
          </w:p>
        </w:tc>
      </w:tr>
      <w:tr>
        <w:tc>
          <w:tcPr>
            <w:tcW w:type="dxa" w:w="4700"/>
          </w:tcPr>
          <w:p>
            <w:r>
              <w:t xml:space="preserve">Серия случаев / мнение эксперта</w:t>
            </w:r>
          </w:p>
        </w:tc>
        <w:tc>
          <w:tcPr>
            <w:tcW w:type="dxa" w:w="4700"/>
          </w:tcPr>
          <w:p>
            <w:r>
              <w:t xml:space="preserve">very_low</w:t>
            </w:r>
          </w:p>
        </w:tc>
      </w:tr>
    </w:tbl>
    <w:p>
      <w:pPr>
        <w:spacing w:after="160"/>
      </w:pPr>
      <w:r>
        <w:t xml:space="preserve">Правила понижения уровня (downgrade) в v0 — вручную помечаются проверяющим при верификации, а не вычисляются автоматически: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Малая выборка (n &lt; 30 на группу) — понизить на один уровень.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Высокая гетерогенность между источниками одного Claim — понизить на один уровень.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Конфликт интересов у авторов исследования — пометить флагом, не понижать автоматически.</w:t>
      </w:r>
    </w:p>
    <w:p>
      <w:pPr>
        <w:spacing w:after="160"/>
      </w:pPr>
      <w:r>
        <w:rPr>
          <w:i/>
          <w:iCs/>
          <w:color w:val="666666"/>
        </w:rPr>
        <w:t xml:space="preserve">Автоматизация этих правил — предмет будущей итерации, не v0.</w:t>
      </w:r>
    </w:p>
    <w:p>
      <w:pPr>
        <w:pStyle w:val="Heading1"/>
        <w:spacing w:after="160" w:before="320"/>
      </w:pPr>
      <w:r>
        <w:t xml:space="preserve">4. API-контракт v0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shd w:fill="E8E8E8" w:val="clear"/>
          </w:tcPr>
          <w:p>
            <w:r>
              <w:rPr>
                <w:b/>
                <w:bCs/>
              </w:rPr>
              <w:t xml:space="preserve">Метод и путь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</w:tcPr>
          <w:p>
            <w:r>
              <w:t xml:space="preserve">POST /internal/extract</w:t>
            </w:r>
          </w:p>
        </w:tc>
        <w:tc>
          <w:tcPr>
            <w:tcW w:type="dxa" w:w="6400"/>
          </w:tcPr>
          <w:p>
            <w:r>
              <w:t xml:space="preserve">Прогнать текст статьи через LLM, получить draft Claim (status=draft)</w:t>
            </w:r>
          </w:p>
        </w:tc>
      </w:tr>
      <w:tr>
        <w:tc>
          <w:tcPr>
            <w:tcW w:type="dxa" w:w="3000"/>
          </w:tcPr>
          <w:p>
            <w:r>
              <w:t xml:space="preserve">GET /claims?subject=creatine</w:t>
            </w:r>
          </w:p>
        </w:tc>
        <w:tc>
          <w:tcPr>
            <w:tcW w:type="dxa" w:w="6400"/>
          </w:tcPr>
          <w:p>
            <w:r>
              <w:t xml:space="preserve">Список Claims по веществу</w:t>
            </w:r>
          </w:p>
        </w:tc>
      </w:tr>
      <w:tr>
        <w:tc>
          <w:tcPr>
            <w:tcW w:type="dxa" w:w="3000"/>
          </w:tcPr>
          <w:p>
            <w:r>
              <w:t xml:space="preserve">GET /claims/{id}</w:t>
            </w:r>
          </w:p>
        </w:tc>
        <w:tc>
          <w:tcPr>
            <w:tcW w:type="dxa" w:w="6400"/>
          </w:tcPr>
          <w:p>
            <w:r>
              <w:t xml:space="preserve">Один Claim с полной provenance-цепочкой</w:t>
            </w:r>
          </w:p>
        </w:tc>
      </w:tr>
      <w:tr>
        <w:tc>
          <w:tcPr>
            <w:tcW w:type="dxa" w:w="3000"/>
          </w:tcPr>
          <w:p>
            <w:r>
              <w:t xml:space="preserve">POST /claims/{id}/verify</w:t>
            </w:r>
          </w:p>
        </w:tc>
        <w:tc>
          <w:tcPr>
            <w:tcW w:type="dxa" w:w="6400"/>
          </w:tcPr>
          <w:p>
            <w:r>
              <w:t xml:space="preserve">Пометить Claim как verified/published после проверки человеком</w:t>
            </w:r>
          </w:p>
        </w:tc>
      </w:tr>
      <w:tr>
        <w:tc>
          <w:tcPr>
            <w:tcW w:type="dxa" w:w="3000"/>
          </w:tcPr>
          <w:p>
            <w:r>
              <w:t xml:space="preserve">GET /substances/{name}/summary</w:t>
            </w:r>
          </w:p>
        </w:tc>
        <w:tc>
          <w:tcPr>
            <w:tcW w:type="dxa" w:w="6400"/>
          </w:tcPr>
          <w:p>
            <w:r>
              <w:t xml:space="preserve">Агрегированный Consensus по всем published Claims вещества</w:t>
            </w:r>
          </w:p>
        </w:tc>
      </w:tr>
      <w:tr>
        <w:tc>
          <w:tcPr>
            <w:tcW w:type="dxa" w:w="3000"/>
          </w:tcPr>
          <w:p>
            <w:r>
              <w:t xml:space="preserve">GET /ask?q=...</w:t>
            </w:r>
          </w:p>
        </w:tc>
        <w:tc>
          <w:tcPr>
            <w:tcW w:type="dxa" w:w="6400"/>
          </w:tcPr>
          <w:p>
            <w:r>
              <w:t xml:space="preserve">Вопрос пользователя → подбор релевантных Claims → ответ, сформулированный LLM</w:t>
            </w:r>
          </w:p>
        </w:tc>
      </w:tr>
    </w:tbl>
    <w:p>
      <w:pPr>
        <w:spacing w:after="160"/>
      </w:pPr>
      <w:r>
        <w:t xml:space="preserve">Все ответы включают массив sources и evidence_level — ни один эндпоинт не возвращает голый текст без ссылки на Claim.</w:t>
      </w:r>
    </w:p>
    <w:p>
      <w:pPr>
        <w:pStyle w:val="Heading1"/>
        <w:spacing w:after="160" w:before="320"/>
      </w:pPr>
      <w:r>
        <w:t xml:space="preserve">5. Процесс верификации Claim</w:t>
      </w:r>
    </w:p>
    <w:p>
      <w:pPr>
        <w:spacing w:after="160"/>
      </w:pPr>
      <w:r>
        <w:t xml:space="preserve">В v0 ни один Claim не попадает в /ask и /summary, минуя проверку человеком:</w:t>
      </w:r>
    </w:p>
    <w:p>
      <w:pPr>
        <w:spacing w:after="80"/>
      </w:pPr>
      <w:r>
        <w:t xml:space="preserve">1. LLM извлекает Claim из статьи → status = draft.</w:t>
      </w:r>
    </w:p>
    <w:p>
      <w:pPr>
        <w:spacing w:after="80"/>
      </w:pPr>
      <w:r>
        <w:t xml:space="preserve">2. Человек (в v0 — сам автор проекта или один нанятый рецензент) сверяет draft с текстом статьи: дозировка, выборка, эффект.</w:t>
      </w:r>
    </w:p>
    <w:p>
      <w:pPr>
        <w:spacing w:after="80"/>
      </w:pPr>
      <w:r>
        <w:t xml:space="preserve">3. Если всё верно — status = verified, заполняется verified_by.</w:t>
      </w:r>
    </w:p>
    <w:p>
      <w:pPr>
        <w:spacing w:after="80"/>
      </w:pPr>
      <w:r>
        <w:t xml:space="preserve">4. Claim становится status = published и виден в API только после verified.</w:t>
      </w:r>
    </w:p>
    <w:p>
      <w:pPr>
        <w:spacing w:after="160"/>
      </w:pPr>
      <w:r>
        <w:t xml:space="preserve">Это узкое место намеренно: пока нет автоматической валидации, скорость извлечения ограничена скоростью проверки — это осознанный компромисс v0.</w:t>
      </w:r>
    </w:p>
    <w:p>
      <w:pPr>
        <w:pStyle w:val="Heading1"/>
        <w:spacing w:after="160" w:before="320"/>
      </w:pPr>
      <w:r>
        <w:t xml:space="preserve">6. Поведение при конфликте Claims</w:t>
      </w:r>
    </w:p>
    <w:p>
      <w:pPr>
        <w:spacing w:after="160"/>
      </w:pPr>
      <w:r>
        <w:t xml:space="preserve">Если два published Claims с одинаковыми subject и outcome дают разное effect.direction: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Оба показываются пользователю рядом, явно помеченные как 'противоречащие данные' — ни один не скрывается и не усредняется.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Автоматическое разрешение противоречий (полноценный Contradiction Engine) — вне рамок v0.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consensus_confidence в этом случае намеренно занижается (например, ≤ 0.5), чтобы это было видно в /summary.</w:t>
      </w:r>
    </w:p>
    <w:p>
      <w:pPr>
        <w:pStyle w:val="Heading1"/>
        <w:spacing w:after="160" w:before="320"/>
      </w:pPr>
      <w:r>
        <w:t xml:space="preserve">7. Структура репозитория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medical-knowledge-platform/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extraction/      # LLM-вызов, парсинг статьи → draft Claim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evidence/        # правила GRADE-lite (раздел 3)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storage/         # models.py, db.py (SQLAlchemy)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api/             # FastAPI роуты (раздел 4)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reasoning/       # /ask: вопрос → запрос к Claims → ответ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tests/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scripts/             # разовые скрипты загрузки статей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docker-compose.yml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pyproject.toml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 docs/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RFC-0000-Philosophy-and-Foundations.docx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RFC-0001-Technical-Spec-v0.docx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8. Минимальное тестирование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Unit-тесты evidence/: набор study_type на входе → ожидаемый evidence_level на выходе.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Контрактные тесты API: каждый эндпоинт возвращает schema-валидный ответ (Pydantic-модель как источник истины).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Один end-to-end тест: полный путь для 1 вещества — от сырого текста статьи до published Claim, видимого в /ask.</w:t>
      </w:r>
    </w:p>
    <w:p>
      <w:pPr>
        <w:pStyle w:val="Heading1"/>
        <w:spacing w:after="160" w:before="320"/>
      </w:pPr>
      <w:r>
        <w:t xml:space="preserve">9. Definition of Done для v0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10–20 веществ, у каждого не менее 3 published Claims.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Каждый Claim проходит через процесс верификации из раздела 5 без исключений.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Хотя бы один реальный случай конфликта Claims явно показан пользователю (раздел 6), не скрыт.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3–5 целевых пользователей опробовали /ask и дали структурированный фидбек: полезнее ли это, чем поиск/ChatGPT, и почему.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Все тесты из раздела 8 проходят в CI.</w:t>
      </w:r>
    </w:p>
    <w:p>
      <w:pPr>
        <w:spacing w:after="160"/>
      </w:pPr>
      <w:r>
        <w:rPr>
          <w:i/>
          <w:iCs/>
          <w:color w:val="666666"/>
        </w:rPr>
        <w:t xml:space="preserve">Если после этого фидбек от пользователей отрицательный — это тоже валидный результат v0: гипотеза Claim → Consensus → Knowledge не подтвердилась в текущем виде, и это повод пересмотреть подход до расширения, а не сигнал 'нужно больше инфраструктуры'.</w:t>
      </w:r>
    </w:p>
    <w:p>
      <w:pPr>
        <w:pBdr>
          <w:bottom w:val="single" w:color="AAAAAA" w:sz="6" w:space="4"/>
        </w:pBdr>
        <w:spacing w:after="240"/>
      </w:pPr>
    </w:p>
    <w:p>
      <w:pPr>
        <w:spacing w:after="160"/>
      </w:pPr>
      <w:r>
        <w:rPr>
          <w:i/>
          <w:iCs/>
          <w:color w:val="666666"/>
        </w:rPr>
        <w:t xml:space="preserve">Ссылается на RFC-0000. Следующие технические документы (например, схема расширения на новые вещества, выбор графовой БД) создаются только после прохождения Definition of Done выше.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2026-07-02T09:46:56.153Z</dcterms:created>
  <dcterms:modified xsi:type="dcterms:W3CDTF">2026-07-02T09:46:56.177Z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