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F8F8" w14:textId="77777777" w:rsidR="004B5227" w:rsidRPr="004B5227" w:rsidRDefault="004B5227" w:rsidP="004B5227">
      <w:pPr>
        <w:pStyle w:val="Heading1"/>
        <w:rPr>
          <w:rFonts w:ascii="Georgia" w:hAnsi="Georgia"/>
          <w:b/>
          <w:bCs/>
          <w:color w:val="auto"/>
        </w:rPr>
      </w:pPr>
      <w:r w:rsidRPr="004B5227">
        <w:rPr>
          <w:rFonts w:ascii="Georgia" w:hAnsi="Georgia"/>
          <w:b/>
          <w:bCs/>
          <w:color w:val="auto"/>
        </w:rPr>
        <w:t>Market Participants (Banks, Funds, Retail)</w:t>
      </w:r>
    </w:p>
    <w:p w14:paraId="1DE307A1" w14:textId="77777777" w:rsidR="004B5227" w:rsidRPr="009C644A" w:rsidRDefault="004B5227" w:rsidP="004B522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  <w:r w:rsidRPr="004B5227">
        <w:rPr>
          <w:rFonts w:ascii="Georgia" w:hAnsi="Georgia"/>
          <w:b/>
          <w:bCs/>
          <w:sz w:val="36"/>
          <w:szCs w:val="36"/>
        </w:rPr>
        <w:t>Concept</w:t>
      </w:r>
      <w:r w:rsidRPr="009C644A">
        <w:rPr>
          <w:rFonts w:ascii="Georgia" w:hAnsi="Georgia"/>
          <w:sz w:val="22"/>
          <w:szCs w:val="22"/>
        </w:rPr>
        <w:br/>
        <w:t>Financial markets are composed of different types of participants, each with varying levels of capital, influence, and purpose.</w:t>
      </w:r>
      <w:r w:rsidRPr="009C644A">
        <w:rPr>
          <w:rFonts w:ascii="Georgia" w:hAnsi="Georgia"/>
          <w:sz w:val="22"/>
          <w:szCs w:val="22"/>
        </w:rPr>
        <w:br/>
        <w:t>The primary groups include institutional participants (banks and funds) and retail participants.</w:t>
      </w:r>
    </w:p>
    <w:p w14:paraId="29A8748C" w14:textId="77777777" w:rsidR="004B5227" w:rsidRDefault="004B5227" w:rsidP="004B522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</w:p>
    <w:p w14:paraId="15A39852" w14:textId="178520EB" w:rsidR="004B5227" w:rsidRDefault="004B5227" w:rsidP="004B522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  <w:r>
        <w:rPr>
          <w:noProof/>
        </w:rPr>
        <w:drawing>
          <wp:inline distT="0" distB="0" distL="0" distR="0" wp14:anchorId="67E83318" wp14:editId="2237D965">
            <wp:extent cx="5715000" cy="2899019"/>
            <wp:effectExtent l="0" t="0" r="0" b="0"/>
            <wp:docPr id="103883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80" cy="291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48D2" w14:textId="77777777" w:rsidR="004B5227" w:rsidRPr="009C644A" w:rsidRDefault="004B5227" w:rsidP="004B522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  <w:r w:rsidRPr="004B5227">
        <w:rPr>
          <w:rFonts w:ascii="Georgia" w:hAnsi="Georgia"/>
          <w:b/>
          <w:bCs/>
          <w:sz w:val="36"/>
          <w:szCs w:val="36"/>
        </w:rPr>
        <w:t>Why It Matters</w:t>
      </w:r>
      <w:r w:rsidRPr="009C644A">
        <w:rPr>
          <w:rFonts w:ascii="Georgia" w:hAnsi="Georgia"/>
          <w:sz w:val="22"/>
          <w:szCs w:val="22"/>
        </w:rPr>
        <w:br/>
        <w:t>Not all participants influence the market equally.</w:t>
      </w:r>
      <w:r w:rsidRPr="009C644A">
        <w:rPr>
          <w:rFonts w:ascii="Georgia" w:hAnsi="Georgia"/>
          <w:sz w:val="22"/>
          <w:szCs w:val="22"/>
        </w:rPr>
        <w:br/>
        <w:t>Understanding who participates—and how—helps explain differences in order size, behavior, and impact on price movement.</w:t>
      </w:r>
    </w:p>
    <w:p w14:paraId="5851819F" w14:textId="77777777" w:rsidR="004B5227" w:rsidRDefault="004B5227" w:rsidP="004B522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</w:p>
    <w:p w14:paraId="49E688BA" w14:textId="4FF8C0CE" w:rsidR="004B5227" w:rsidRPr="009C644A" w:rsidRDefault="004B5227" w:rsidP="004B522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  <w:r w:rsidRPr="004B5227">
        <w:rPr>
          <w:rFonts w:ascii="Georgia" w:hAnsi="Georgia"/>
          <w:b/>
          <w:bCs/>
          <w:sz w:val="36"/>
          <w:szCs w:val="36"/>
        </w:rPr>
        <w:t>Professional Perspective</w:t>
      </w:r>
      <w:r w:rsidRPr="009C644A">
        <w:rPr>
          <w:rFonts w:ascii="Georgia" w:hAnsi="Georgia"/>
          <w:sz w:val="22"/>
          <w:szCs w:val="22"/>
        </w:rPr>
        <w:br/>
        <w:t>Institutional participants, such as banks and large funds, provide significant liquidity and execute large-volume transactions.</w:t>
      </w:r>
      <w:r w:rsidRPr="009C644A">
        <w:rPr>
          <w:rFonts w:ascii="Georgia" w:hAnsi="Georgia"/>
          <w:sz w:val="22"/>
          <w:szCs w:val="22"/>
        </w:rPr>
        <w:br/>
        <w:t>Retail participants contribute smaller orders and operate within the conditions created by larger participants.</w:t>
      </w:r>
      <w:r w:rsidRPr="009C644A">
        <w:rPr>
          <w:rFonts w:ascii="Georgia" w:hAnsi="Georgia"/>
          <w:sz w:val="22"/>
          <w:szCs w:val="22"/>
        </w:rPr>
        <w:br/>
        <w:t xml:space="preserve">Market </w:t>
      </w:r>
      <w:r w:rsidRPr="009C644A">
        <w:rPr>
          <w:rFonts w:ascii="Georgia" w:hAnsi="Georgia"/>
          <w:sz w:val="22"/>
          <w:szCs w:val="22"/>
        </w:rPr>
        <w:t>behaviour</w:t>
      </w:r>
      <w:r w:rsidRPr="009C644A">
        <w:rPr>
          <w:rFonts w:ascii="Georgia" w:hAnsi="Georgia"/>
          <w:sz w:val="22"/>
          <w:szCs w:val="22"/>
        </w:rPr>
        <w:t xml:space="preserve"> reflects the combined interaction of all participants, not any single group acting alone.</w:t>
      </w:r>
    </w:p>
    <w:p w14:paraId="2C182ADA" w14:textId="77777777" w:rsidR="004B5227" w:rsidRDefault="004B5227" w:rsidP="004B522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</w:p>
    <w:p w14:paraId="3630BA86" w14:textId="77777777" w:rsidR="004B5227" w:rsidRPr="009C644A" w:rsidRDefault="004B5227" w:rsidP="004B522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  <w:r w:rsidRPr="004B5227">
        <w:rPr>
          <w:rFonts w:ascii="Georgia" w:hAnsi="Georgia"/>
          <w:b/>
          <w:bCs/>
          <w:sz w:val="36"/>
          <w:szCs w:val="36"/>
        </w:rPr>
        <w:t>Practical Insight</w:t>
      </w:r>
      <w:r w:rsidRPr="009C644A">
        <w:rPr>
          <w:rFonts w:ascii="Georgia" w:hAnsi="Georgia"/>
          <w:sz w:val="22"/>
          <w:szCs w:val="22"/>
        </w:rPr>
        <w:br/>
        <w:t>Retail traders do not control the market, but they are still part of it.</w:t>
      </w:r>
      <w:r w:rsidRPr="009C644A">
        <w:rPr>
          <w:rFonts w:ascii="Georgia" w:hAnsi="Georgia"/>
          <w:sz w:val="22"/>
          <w:szCs w:val="22"/>
        </w:rPr>
        <w:br/>
        <w:t>Different participants operate with different objectives and constraints.</w:t>
      </w:r>
      <w:r w:rsidRPr="009C644A">
        <w:rPr>
          <w:rFonts w:ascii="Georgia" w:hAnsi="Georgia"/>
          <w:sz w:val="22"/>
          <w:szCs w:val="22"/>
        </w:rPr>
        <w:br/>
        <w:t>Understanding this prevents oversimplified assumptions about how and why price moves.</w:t>
      </w:r>
    </w:p>
    <w:p w14:paraId="0E75C1CB" w14:textId="77777777" w:rsidR="00BE5924" w:rsidRDefault="00BE5924"/>
    <w:sectPr w:rsidR="00BE5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7"/>
    <w:rsid w:val="00287913"/>
    <w:rsid w:val="004B5227"/>
    <w:rsid w:val="007743E7"/>
    <w:rsid w:val="007B5E39"/>
    <w:rsid w:val="00901558"/>
    <w:rsid w:val="00BE5924"/>
    <w:rsid w:val="00E7534C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D86B"/>
  <w15:chartTrackingRefBased/>
  <w15:docId w15:val="{A72A3BC8-71C9-44EA-916A-A8813ECC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2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522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1</cp:revision>
  <dcterms:created xsi:type="dcterms:W3CDTF">2026-04-09T09:25:00Z</dcterms:created>
  <dcterms:modified xsi:type="dcterms:W3CDTF">2026-04-09T09:34:00Z</dcterms:modified>
</cp:coreProperties>
</file>