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93C79" w14:textId="77777777" w:rsidR="00866BD4" w:rsidRDefault="00866BD4" w:rsidP="00494DF8">
      <w:pPr>
        <w:pStyle w:val="NormalWeb"/>
        <w:rPr>
          <w:rFonts w:ascii="Georgia" w:hAnsi="Georgia"/>
          <w:b/>
          <w:bCs/>
          <w:sz w:val="40"/>
          <w:szCs w:val="40"/>
        </w:rPr>
      </w:pPr>
      <w:r w:rsidRPr="00866BD4">
        <w:rPr>
          <w:rFonts w:ascii="Georgia" w:hAnsi="Georgia"/>
          <w:b/>
          <w:bCs/>
          <w:sz w:val="40"/>
          <w:szCs w:val="40"/>
        </w:rPr>
        <w:t>Asset Classes Overview (FX, Gold, Oil, Indices)</w:t>
      </w:r>
    </w:p>
    <w:p w14:paraId="763C6007" w14:textId="59A297DF" w:rsidR="00494DF8" w:rsidRDefault="00494DF8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  <w:r w:rsidRPr="005E1D30">
        <w:rPr>
          <w:rFonts w:ascii="Georgia" w:hAnsi="Georgia"/>
          <w:b/>
          <w:bCs/>
          <w:sz w:val="36"/>
          <w:szCs w:val="36"/>
        </w:rPr>
        <w:t>Concept</w:t>
      </w:r>
    </w:p>
    <w:p w14:paraId="1D4FACFA" w14:textId="77777777" w:rsidR="00866BD4" w:rsidRPr="00866BD4" w:rsidRDefault="00494DF8" w:rsidP="00866BD4">
      <w:pPr>
        <w:pStyle w:val="NormalWeb"/>
        <w:rPr>
          <w:rFonts w:ascii="Georgia" w:hAnsi="Georgia"/>
        </w:rPr>
      </w:pPr>
      <w:r>
        <w:br/>
      </w:r>
      <w:r w:rsidR="00866BD4" w:rsidRPr="00866BD4">
        <w:rPr>
          <w:rFonts w:ascii="Georgia" w:hAnsi="Georgia"/>
        </w:rPr>
        <w:t>An asset class is a category of financial instruments that share similar characteristics.</w:t>
      </w:r>
    </w:p>
    <w:p w14:paraId="55FA763A" w14:textId="5A59AF4A" w:rsidR="00494DF8" w:rsidRDefault="00866BD4" w:rsidP="00866BD4">
      <w:pPr>
        <w:pStyle w:val="NormalWeb"/>
        <w:rPr>
          <w:rFonts w:ascii="Georgia" w:hAnsi="Georgia"/>
          <w:b/>
          <w:bCs/>
          <w:sz w:val="36"/>
          <w:szCs w:val="36"/>
        </w:rPr>
      </w:pPr>
      <w:r w:rsidRPr="00866BD4">
        <w:rPr>
          <w:rFonts w:ascii="Georgia" w:hAnsi="Georgia"/>
        </w:rPr>
        <w:t>Common asset classes include foreign exchange (FX), commodities such as gold and oil, and indices representing groups of stocks.</w:t>
      </w:r>
      <w:r w:rsidRPr="00866BD4">
        <w:t xml:space="preserve"> </w:t>
      </w:r>
      <w:r>
        <w:rPr>
          <w:noProof/>
        </w:rPr>
        <w:drawing>
          <wp:inline distT="0" distB="0" distL="0" distR="0" wp14:anchorId="04EB7DDF" wp14:editId="607A9958">
            <wp:extent cx="5943600" cy="3017520"/>
            <wp:effectExtent l="0" t="0" r="0" b="0"/>
            <wp:docPr id="983104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876BA" w14:textId="2663993D" w:rsidR="00494DF8" w:rsidRDefault="00494DF8" w:rsidP="00494DF8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Why It Matters</w:t>
      </w:r>
    </w:p>
    <w:p w14:paraId="4FB37FFB" w14:textId="77777777" w:rsidR="00866BD4" w:rsidRPr="00866BD4" w:rsidRDefault="00494DF8" w:rsidP="00866BD4">
      <w:pPr>
        <w:pStyle w:val="NormalWeb"/>
        <w:rPr>
          <w:rFonts w:ascii="Georgia" w:hAnsi="Georgia"/>
        </w:rPr>
      </w:pPr>
      <w:r>
        <w:br/>
      </w:r>
      <w:r w:rsidR="00866BD4" w:rsidRPr="00866BD4">
        <w:rPr>
          <w:rFonts w:ascii="Georgia" w:hAnsi="Georgia"/>
        </w:rPr>
        <w:t>Different asset classes may appear unique, but they all operate through the same underlying mechanisms of order interaction, liquidity, and execution.</w:t>
      </w:r>
    </w:p>
    <w:p w14:paraId="197A21DD" w14:textId="5403A6BF" w:rsidR="00494DF8" w:rsidRDefault="00866BD4" w:rsidP="00866BD4">
      <w:pPr>
        <w:pStyle w:val="NormalWeb"/>
        <w:rPr>
          <w:rFonts w:ascii="Georgia" w:hAnsi="Georgia"/>
        </w:rPr>
      </w:pPr>
      <w:r w:rsidRPr="00866BD4">
        <w:rPr>
          <w:rFonts w:ascii="Georgia" w:hAnsi="Georgia"/>
        </w:rPr>
        <w:t>Understanding this prevents treating each market as fundamentally different.</w:t>
      </w:r>
    </w:p>
    <w:p w14:paraId="33F66523" w14:textId="77777777" w:rsidR="00494DF8" w:rsidRPr="00494DF8" w:rsidRDefault="00494DF8" w:rsidP="00494DF8">
      <w:pPr>
        <w:pStyle w:val="NormalWeb"/>
        <w:rPr>
          <w:rFonts w:ascii="Georgia" w:hAnsi="Georgia"/>
        </w:rPr>
      </w:pPr>
    </w:p>
    <w:p w14:paraId="589C5606" w14:textId="77777777" w:rsidR="00494DF8" w:rsidRDefault="00494DF8" w:rsidP="00494DF8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Professional Perspective</w:t>
      </w:r>
    </w:p>
    <w:p w14:paraId="624605B1" w14:textId="77777777" w:rsidR="00866BD4" w:rsidRPr="00866BD4" w:rsidRDefault="00494DF8" w:rsidP="00866BD4">
      <w:pPr>
        <w:pStyle w:val="NormalWeb"/>
        <w:rPr>
          <w:rFonts w:ascii="Georgia" w:hAnsi="Georgia"/>
        </w:rPr>
      </w:pPr>
      <w:r>
        <w:br/>
      </w:r>
      <w:r w:rsidR="00866BD4" w:rsidRPr="00866BD4">
        <w:rPr>
          <w:rFonts w:ascii="Georgia" w:hAnsi="Georgia"/>
        </w:rPr>
        <w:t>Each asset class has its own participants, trading hours, and liquidity conditions.</w:t>
      </w:r>
    </w:p>
    <w:p w14:paraId="335539D5" w14:textId="77777777" w:rsidR="00866BD4" w:rsidRPr="00866BD4" w:rsidRDefault="00866BD4" w:rsidP="00866BD4">
      <w:pPr>
        <w:pStyle w:val="NormalWeb"/>
        <w:rPr>
          <w:rFonts w:ascii="Georgia" w:hAnsi="Georgia"/>
        </w:rPr>
      </w:pPr>
      <w:r w:rsidRPr="00866BD4">
        <w:rPr>
          <w:rFonts w:ascii="Georgia" w:hAnsi="Georgia"/>
        </w:rPr>
        <w:t>However, all markets function through the same principles:</w:t>
      </w:r>
    </w:p>
    <w:p w14:paraId="679874BF" w14:textId="77777777" w:rsidR="00866BD4" w:rsidRPr="00866BD4" w:rsidRDefault="00866BD4" w:rsidP="00866BD4">
      <w:pPr>
        <w:pStyle w:val="NormalWeb"/>
        <w:rPr>
          <w:rFonts w:ascii="Georgia" w:hAnsi="Georgia"/>
        </w:rPr>
      </w:pPr>
      <w:r w:rsidRPr="00866BD4">
        <w:rPr>
          <w:rFonts w:ascii="Georgia" w:hAnsi="Georgia"/>
        </w:rPr>
        <w:lastRenderedPageBreak/>
        <w:t>orders interact, liquidity is required, and price reflects transactions.</w:t>
      </w:r>
    </w:p>
    <w:p w14:paraId="67087FE4" w14:textId="77777777" w:rsidR="00866BD4" w:rsidRDefault="00866BD4" w:rsidP="00866BD4">
      <w:pPr>
        <w:pStyle w:val="NormalWeb"/>
        <w:rPr>
          <w:rFonts w:ascii="Georgia" w:hAnsi="Georgia"/>
        </w:rPr>
      </w:pPr>
      <w:r w:rsidRPr="00866BD4">
        <w:rPr>
          <w:rFonts w:ascii="Georgia" w:hAnsi="Georgia"/>
        </w:rPr>
        <w:t>Differences are contextual—not structural.</w:t>
      </w:r>
    </w:p>
    <w:p w14:paraId="642D26AD" w14:textId="77777777" w:rsidR="00866BD4" w:rsidRDefault="00866BD4" w:rsidP="00866BD4">
      <w:pPr>
        <w:pStyle w:val="NormalWeb"/>
        <w:rPr>
          <w:rFonts w:ascii="Georgia" w:hAnsi="Georgia"/>
        </w:rPr>
      </w:pPr>
    </w:p>
    <w:p w14:paraId="22792F9A" w14:textId="4C1F347B" w:rsidR="00494DF8" w:rsidRDefault="00494DF8" w:rsidP="00866BD4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Practical Insight</w:t>
      </w:r>
    </w:p>
    <w:p w14:paraId="1D848A1D" w14:textId="77777777" w:rsidR="00866BD4" w:rsidRPr="00866BD4" w:rsidRDefault="00494DF8" w:rsidP="00866BD4">
      <w:pPr>
        <w:pStyle w:val="NormalWeb"/>
        <w:rPr>
          <w:rFonts w:ascii="Georgia" w:hAnsi="Georgia"/>
        </w:rPr>
      </w:pPr>
      <w:r>
        <w:br/>
      </w:r>
      <w:r w:rsidR="00866BD4" w:rsidRPr="00866BD4">
        <w:rPr>
          <w:rFonts w:ascii="Georgia" w:hAnsi="Georgia"/>
        </w:rPr>
        <w:t>Changing asset classes does not change how markets function.</w:t>
      </w:r>
    </w:p>
    <w:p w14:paraId="00B343AB" w14:textId="77777777" w:rsidR="00866BD4" w:rsidRPr="00866BD4" w:rsidRDefault="00866BD4" w:rsidP="00866BD4">
      <w:pPr>
        <w:pStyle w:val="NormalWeb"/>
        <w:rPr>
          <w:rFonts w:ascii="Georgia" w:hAnsi="Georgia"/>
        </w:rPr>
      </w:pPr>
      <w:r w:rsidRPr="00866BD4">
        <w:rPr>
          <w:rFonts w:ascii="Georgia" w:hAnsi="Georgia"/>
        </w:rPr>
        <w:t>It only changes context, such as volatility or liquidity conditions.</w:t>
      </w:r>
    </w:p>
    <w:p w14:paraId="49956E5F" w14:textId="7837B562" w:rsidR="00BE5924" w:rsidRDefault="00866BD4" w:rsidP="00866BD4">
      <w:pPr>
        <w:pStyle w:val="NormalWeb"/>
      </w:pPr>
      <w:r w:rsidRPr="00866BD4">
        <w:rPr>
          <w:rFonts w:ascii="Georgia" w:hAnsi="Georgia"/>
        </w:rPr>
        <w:t>Understanding this allows traders to apply consistent reasoning across markets.</w:t>
      </w:r>
    </w:p>
    <w:sectPr w:rsidR="00BE5924" w:rsidSect="00494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F8"/>
    <w:rsid w:val="00080249"/>
    <w:rsid w:val="00287913"/>
    <w:rsid w:val="003D6B8E"/>
    <w:rsid w:val="00494DF8"/>
    <w:rsid w:val="00587515"/>
    <w:rsid w:val="007743E7"/>
    <w:rsid w:val="007B5E39"/>
    <w:rsid w:val="00866BD4"/>
    <w:rsid w:val="00901558"/>
    <w:rsid w:val="00BE5924"/>
    <w:rsid w:val="00E7534C"/>
    <w:rsid w:val="00F9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2B850"/>
  <w15:chartTrackingRefBased/>
  <w15:docId w15:val="{0D559977-9EC5-46BD-B1AC-925D3E59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DF8"/>
  </w:style>
  <w:style w:type="paragraph" w:styleId="Heading1">
    <w:name w:val="heading 1"/>
    <w:basedOn w:val="Normal"/>
    <w:next w:val="Normal"/>
    <w:link w:val="Heading1Char"/>
    <w:uiPriority w:val="9"/>
    <w:qFormat/>
    <w:rsid w:val="00494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custom">
    <w:name w:val="Heading custom"/>
    <w:basedOn w:val="NormalWeb"/>
    <w:link w:val="HeadingcustomChar"/>
    <w:autoRedefine/>
    <w:qFormat/>
    <w:rsid w:val="003D6B8E"/>
    <w:pPr>
      <w:spacing w:after="0" w:line="360" w:lineRule="auto"/>
    </w:pPr>
    <w:rPr>
      <w:rFonts w:ascii="Georgia" w:eastAsiaTheme="minorEastAsia" w:hAnsi="Georgia"/>
      <w:b/>
      <w:bCs/>
      <w:kern w:val="0"/>
      <w:sz w:val="40"/>
      <w:szCs w:val="22"/>
      <w:lang w:val="en-GB"/>
      <w14:ligatures w14:val="none"/>
    </w:rPr>
  </w:style>
  <w:style w:type="character" w:customStyle="1" w:styleId="HeadingcustomChar">
    <w:name w:val="Heading custom Char"/>
    <w:basedOn w:val="DefaultParagraphFont"/>
    <w:link w:val="Headingcustom"/>
    <w:rsid w:val="003D6B8E"/>
    <w:rPr>
      <w:rFonts w:ascii="Georgia" w:eastAsiaTheme="minorEastAsia" w:hAnsi="Georgia" w:cs="Times New Roman"/>
      <w:b/>
      <w:bCs/>
      <w:kern w:val="0"/>
      <w:sz w:val="40"/>
      <w:szCs w:val="22"/>
      <w:lang w:val="en-GB"/>
      <w14:ligatures w14:val="none"/>
    </w:rPr>
  </w:style>
  <w:style w:type="paragraph" w:styleId="NormalWeb">
    <w:name w:val="Normal (Web)"/>
    <w:basedOn w:val="Normal"/>
    <w:uiPriority w:val="99"/>
    <w:unhideWhenUsed/>
    <w:rsid w:val="003D6B8E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94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Chibuikem Nwaiwu</dc:creator>
  <cp:keywords/>
  <dc:description/>
  <cp:lastModifiedBy>Chibuikem Nwaiwu</cp:lastModifiedBy>
  <cp:revision>2</cp:revision>
  <dcterms:created xsi:type="dcterms:W3CDTF">2026-04-27T08:30:00Z</dcterms:created>
  <dcterms:modified xsi:type="dcterms:W3CDTF">2026-04-27T08:30:00Z</dcterms:modified>
</cp:coreProperties>
</file>