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41752028" w:rsidR="00096D0F" w:rsidRDefault="00F45629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F45629">
        <w:rPr>
          <w:rFonts w:ascii="Georgia" w:hAnsi="Georgia"/>
          <w:b/>
          <w:bCs/>
          <w:sz w:val="40"/>
          <w:szCs w:val="40"/>
        </w:rPr>
        <w:t>Swing Points (Highs &amp; Lows)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7A0494F3" w14:textId="77777777" w:rsidR="00F45629" w:rsidRPr="00F45629" w:rsidRDefault="00F45629" w:rsidP="00F45629">
      <w:pPr>
        <w:pStyle w:val="NormalWeb"/>
        <w:rPr>
          <w:rFonts w:ascii="Georgia" w:hAnsi="Georgia"/>
        </w:rPr>
      </w:pPr>
      <w:r w:rsidRPr="00F45629">
        <w:rPr>
          <w:rFonts w:ascii="Georgia" w:hAnsi="Georgia"/>
        </w:rPr>
        <w:t>A swing point is a structural turning point where price stops moving in one direction and begins moving in the opposite direction.</w:t>
      </w:r>
    </w:p>
    <w:p w14:paraId="1CD32019" w14:textId="77777777" w:rsidR="00F45629" w:rsidRPr="00F45629" w:rsidRDefault="00F45629" w:rsidP="00F45629">
      <w:pPr>
        <w:pStyle w:val="NormalWeb"/>
        <w:rPr>
          <w:rFonts w:ascii="Georgia" w:hAnsi="Georgia"/>
        </w:rPr>
      </w:pPr>
      <w:r w:rsidRPr="00F45629">
        <w:rPr>
          <w:rFonts w:ascii="Georgia" w:hAnsi="Georgia"/>
        </w:rPr>
        <w:t>A swing high forms when upward movement transitions into downward movement.</w:t>
      </w:r>
    </w:p>
    <w:p w14:paraId="3844A339" w14:textId="6A830F42" w:rsidR="00096D0F" w:rsidRPr="00096D0F" w:rsidRDefault="00F45629" w:rsidP="00F45629">
      <w:pPr>
        <w:pStyle w:val="NormalWeb"/>
        <w:rPr>
          <w:rFonts w:ascii="Georgia" w:hAnsi="Georgia"/>
        </w:rPr>
      </w:pPr>
      <w:r w:rsidRPr="00F45629">
        <w:rPr>
          <w:rFonts w:ascii="Georgia" w:hAnsi="Georgia"/>
        </w:rPr>
        <w:t>A swing low forms when downward movement transitions into upward movement.</w:t>
      </w:r>
    </w:p>
    <w:p w14:paraId="74059697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5FA763A" w14:textId="1994FB9A" w:rsidR="00494DF8" w:rsidRDefault="00104EC9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BAFD573" wp14:editId="65DF17C3">
            <wp:extent cx="5430129" cy="3621246"/>
            <wp:effectExtent l="0" t="0" r="0" b="0"/>
            <wp:docPr id="14139095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601" cy="362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413"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0EF403BC" w14:textId="77777777" w:rsidR="00104EC9" w:rsidRPr="00104EC9" w:rsidRDefault="00494DF8" w:rsidP="00104EC9">
      <w:pPr>
        <w:pStyle w:val="NormalWeb"/>
        <w:rPr>
          <w:rFonts w:ascii="Georgia" w:hAnsi="Georgia"/>
        </w:rPr>
      </w:pPr>
      <w:r>
        <w:br/>
      </w:r>
      <w:r w:rsidR="00104EC9" w:rsidRPr="00104EC9">
        <w:rPr>
          <w:rFonts w:ascii="Georgia" w:hAnsi="Georgia"/>
        </w:rPr>
        <w:t>Swing points form the foundation of market structure.</w:t>
      </w:r>
    </w:p>
    <w:p w14:paraId="2919BE63" w14:textId="423FFBB8" w:rsidR="00096D0F" w:rsidRDefault="00104EC9" w:rsidP="00104EC9">
      <w:pPr>
        <w:pStyle w:val="NormalWeb"/>
        <w:rPr>
          <w:rFonts w:ascii="Georgia" w:hAnsi="Georgia"/>
        </w:rPr>
      </w:pPr>
      <w:r w:rsidRPr="00104EC9">
        <w:rPr>
          <w:rFonts w:ascii="Georgia" w:hAnsi="Georgia"/>
        </w:rPr>
        <w:t>Without correctly identifying swings, all structural analysis becomes inconsistent and subjective.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1D5CA70F" w14:textId="77777777" w:rsidR="00104EC9" w:rsidRPr="00104EC9" w:rsidRDefault="00104EC9" w:rsidP="00104EC9">
      <w:pPr>
        <w:pStyle w:val="NormalWeb"/>
        <w:rPr>
          <w:rFonts w:ascii="Georgia" w:hAnsi="Georgia"/>
        </w:rPr>
      </w:pPr>
      <w:r w:rsidRPr="00104EC9">
        <w:rPr>
          <w:rFonts w:ascii="Georgia" w:hAnsi="Georgia"/>
        </w:rPr>
        <w:t>A swing represents a temporary shift in order flow where opposing liquidity interrupts directional movement.</w:t>
      </w:r>
    </w:p>
    <w:p w14:paraId="0681B1B6" w14:textId="77777777" w:rsidR="00104EC9" w:rsidRPr="00104EC9" w:rsidRDefault="00104EC9" w:rsidP="00104EC9">
      <w:pPr>
        <w:pStyle w:val="NormalWeb"/>
        <w:rPr>
          <w:rFonts w:ascii="Georgia" w:hAnsi="Georgia"/>
        </w:rPr>
      </w:pPr>
      <w:r w:rsidRPr="00104EC9">
        <w:rPr>
          <w:rFonts w:ascii="Georgia" w:hAnsi="Georgia"/>
        </w:rPr>
        <w:t>It reflects interaction between buyers and sellers, not a predictive signal.</w:t>
      </w:r>
    </w:p>
    <w:p w14:paraId="4262EFD5" w14:textId="388B3CA1" w:rsidR="00465BC1" w:rsidRDefault="00104EC9" w:rsidP="00104EC9">
      <w:pPr>
        <w:pStyle w:val="NormalWeb"/>
        <w:rPr>
          <w:rFonts w:ascii="Georgia" w:hAnsi="Georgia"/>
        </w:rPr>
      </w:pPr>
      <w:r w:rsidRPr="00104EC9">
        <w:rPr>
          <w:rFonts w:ascii="Georgia" w:hAnsi="Georgia"/>
        </w:rPr>
        <w:t>Swings describe what has occurred, not what will occur next.</w:t>
      </w:r>
    </w:p>
    <w:p w14:paraId="58AEB19A" w14:textId="77777777" w:rsidR="00104EC9" w:rsidRDefault="00104EC9" w:rsidP="00104EC9">
      <w:pPr>
        <w:pStyle w:val="NormalWeb"/>
        <w:rPr>
          <w:rFonts w:ascii="Georgia" w:hAnsi="Georgia"/>
        </w:rPr>
      </w:pPr>
    </w:p>
    <w:p w14:paraId="74532D2A" w14:textId="0E142490" w:rsidR="00104EC9" w:rsidRPr="00096D0F" w:rsidRDefault="00104EC9" w:rsidP="00104EC9">
      <w:pPr>
        <w:pStyle w:val="NormalWeb"/>
        <w:rPr>
          <w:rFonts w:ascii="Georgia" w:hAnsi="Georgia"/>
        </w:rPr>
      </w:pPr>
      <w:r>
        <w:rPr>
          <w:noProof/>
        </w:rPr>
        <w:drawing>
          <wp:inline distT="0" distB="0" distL="0" distR="0" wp14:anchorId="4BC706E8" wp14:editId="07BC824A">
            <wp:extent cx="5535637" cy="3691607"/>
            <wp:effectExtent l="0" t="0" r="8255" b="4445"/>
            <wp:docPr id="16641385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433" cy="369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1B140174" w14:textId="77777777" w:rsidR="00104EC9" w:rsidRPr="00104EC9" w:rsidRDefault="00104EC9" w:rsidP="00104EC9">
      <w:pPr>
        <w:pStyle w:val="NormalWeb"/>
        <w:rPr>
          <w:rFonts w:ascii="Georgia" w:hAnsi="Georgia"/>
        </w:rPr>
      </w:pPr>
      <w:r w:rsidRPr="00104EC9">
        <w:rPr>
          <w:rFonts w:ascii="Georgia" w:hAnsi="Georgia"/>
        </w:rPr>
        <w:t>Not every price fluctuation is a valid swing.</w:t>
      </w:r>
    </w:p>
    <w:p w14:paraId="69888FD6" w14:textId="77777777" w:rsidR="00104EC9" w:rsidRPr="00104EC9" w:rsidRDefault="00104EC9" w:rsidP="00104EC9">
      <w:pPr>
        <w:pStyle w:val="NormalWeb"/>
        <w:rPr>
          <w:rFonts w:ascii="Georgia" w:hAnsi="Georgia"/>
        </w:rPr>
      </w:pPr>
      <w:r w:rsidRPr="00104EC9">
        <w:rPr>
          <w:rFonts w:ascii="Georgia" w:hAnsi="Georgia"/>
        </w:rPr>
        <w:t>A valid swing requires clear movement into the point and clear movement away from it.</w:t>
      </w:r>
    </w:p>
    <w:p w14:paraId="49956E5F" w14:textId="3702F6A2" w:rsidR="00BE5924" w:rsidRPr="00AE2413" w:rsidRDefault="00104EC9" w:rsidP="00104EC9">
      <w:pPr>
        <w:pStyle w:val="NormalWeb"/>
        <w:rPr>
          <w:rFonts w:ascii="Georgia" w:hAnsi="Georgia"/>
        </w:rPr>
      </w:pPr>
      <w:r w:rsidRPr="00104EC9">
        <w:rPr>
          <w:rFonts w:ascii="Georgia" w:hAnsi="Georgia"/>
        </w:rPr>
        <w:t>Small overlapping movements represent noise, not structure.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104EC9"/>
    <w:rsid w:val="00266BAE"/>
    <w:rsid w:val="00287913"/>
    <w:rsid w:val="002F3405"/>
    <w:rsid w:val="003D6B8E"/>
    <w:rsid w:val="00465BC1"/>
    <w:rsid w:val="00494DF8"/>
    <w:rsid w:val="00587515"/>
    <w:rsid w:val="007743E7"/>
    <w:rsid w:val="007B5E39"/>
    <w:rsid w:val="00866BD4"/>
    <w:rsid w:val="00901558"/>
    <w:rsid w:val="00AE2413"/>
    <w:rsid w:val="00BE5924"/>
    <w:rsid w:val="00C4149C"/>
    <w:rsid w:val="00E7534C"/>
    <w:rsid w:val="00EB19FB"/>
    <w:rsid w:val="00F45629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2026-04-27T19:19:00Z</dcterms:created>
  <dcterms:modified xsi:type="dcterms:W3CDTF">2026-04-27T19:19:00Z</dcterms:modified>
</cp:coreProperties>
</file>