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350C2BEE" w:rsidR="00096D0F" w:rsidRDefault="00BE72A7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BE72A7">
        <w:rPr>
          <w:rFonts w:ascii="Georgia" w:hAnsi="Georgia"/>
          <w:b/>
          <w:bCs/>
          <w:sz w:val="40"/>
          <w:szCs w:val="40"/>
        </w:rPr>
        <w:t>Trend vs Range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7F7DBB0B" w14:textId="77777777" w:rsidR="00BE72A7" w:rsidRPr="00BE72A7" w:rsidRDefault="00BE72A7" w:rsidP="00BE72A7">
      <w:pPr>
        <w:pStyle w:val="NormalWeb"/>
        <w:rPr>
          <w:rFonts w:ascii="Georgia" w:hAnsi="Georgia"/>
        </w:rPr>
      </w:pPr>
      <w:r w:rsidRPr="00BE72A7">
        <w:rPr>
          <w:rFonts w:ascii="Georgia" w:hAnsi="Georgia"/>
        </w:rPr>
        <w:t>Market structure can be classified into two primary conditions: trend and range.</w:t>
      </w:r>
    </w:p>
    <w:p w14:paraId="157D8F82" w14:textId="77777777" w:rsidR="00BE72A7" w:rsidRPr="00BE72A7" w:rsidRDefault="00BE72A7" w:rsidP="00BE72A7">
      <w:pPr>
        <w:pStyle w:val="NormalWeb"/>
        <w:rPr>
          <w:rFonts w:ascii="Georgia" w:hAnsi="Georgia"/>
        </w:rPr>
      </w:pPr>
      <w:r w:rsidRPr="00BE72A7">
        <w:rPr>
          <w:rFonts w:ascii="Georgia" w:hAnsi="Georgia"/>
        </w:rPr>
        <w:t>A trend forms when price produces a consistent sequence of higher highs and higher lows (uptrend), or lower highs and lower lows (downtrend).</w:t>
      </w:r>
    </w:p>
    <w:p w14:paraId="74059697" w14:textId="0CF7211B" w:rsidR="00096D0F" w:rsidRDefault="00BE72A7" w:rsidP="00BE72A7">
      <w:pPr>
        <w:pStyle w:val="NormalWeb"/>
        <w:rPr>
          <w:rFonts w:ascii="Georgia" w:hAnsi="Georgia"/>
        </w:rPr>
      </w:pPr>
      <w:r w:rsidRPr="00BE72A7">
        <w:rPr>
          <w:rFonts w:ascii="Georgia" w:hAnsi="Georgia"/>
        </w:rPr>
        <w:t>A range forms when price moves between boundaries without a clear directional sequence.</w:t>
      </w:r>
    </w:p>
    <w:p w14:paraId="0CEB0ED8" w14:textId="77777777" w:rsidR="006F78F1" w:rsidRDefault="006F78F1" w:rsidP="006F78F1">
      <w:pPr>
        <w:pStyle w:val="NormalWeb"/>
        <w:rPr>
          <w:rFonts w:ascii="Georgia" w:hAnsi="Georgia"/>
        </w:rPr>
      </w:pPr>
    </w:p>
    <w:p w14:paraId="55FA763A" w14:textId="006C93BA" w:rsidR="00494DF8" w:rsidRDefault="00BE72A7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252AB49" wp14:editId="18144169">
            <wp:extent cx="5943600" cy="3343275"/>
            <wp:effectExtent l="0" t="0" r="0" b="9525"/>
            <wp:docPr id="17645018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413">
        <w:rPr>
          <w:noProof/>
        </w:rPr>
        <w:t xml:space="preserve"> </w:t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7597F9BA" w14:textId="77777777" w:rsidR="00BE72A7" w:rsidRPr="00BE72A7" w:rsidRDefault="00494DF8" w:rsidP="00BE72A7">
      <w:pPr>
        <w:pStyle w:val="NormalWeb"/>
        <w:rPr>
          <w:rFonts w:ascii="Georgia" w:hAnsi="Georgia"/>
        </w:rPr>
      </w:pPr>
      <w:r>
        <w:br/>
      </w:r>
      <w:r w:rsidR="00BE72A7" w:rsidRPr="00BE72A7">
        <w:rPr>
          <w:rFonts w:ascii="Georgia" w:hAnsi="Georgia"/>
        </w:rPr>
        <w:t>Not all market conditions are directional.</w:t>
      </w:r>
    </w:p>
    <w:p w14:paraId="2919BE63" w14:textId="62543FB7" w:rsidR="00096D0F" w:rsidRDefault="00BE72A7" w:rsidP="00BE72A7">
      <w:pPr>
        <w:pStyle w:val="NormalWeb"/>
        <w:rPr>
          <w:rFonts w:ascii="Georgia" w:hAnsi="Georgia"/>
        </w:rPr>
      </w:pPr>
      <w:r w:rsidRPr="00BE72A7">
        <w:rPr>
          <w:rFonts w:ascii="Georgia" w:hAnsi="Georgia"/>
        </w:rPr>
        <w:t>Misclassifying a range as a trend leads to poor decision-making and overreaction to normal price fluctuations.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lastRenderedPageBreak/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2EAA8843" w14:textId="77777777" w:rsidR="00BE72A7" w:rsidRPr="00BE72A7" w:rsidRDefault="00BE72A7" w:rsidP="00BE72A7">
      <w:pPr>
        <w:pStyle w:val="NormalWeb"/>
        <w:rPr>
          <w:rFonts w:ascii="Georgia" w:hAnsi="Georgia"/>
        </w:rPr>
      </w:pPr>
      <w:r w:rsidRPr="00BE72A7">
        <w:rPr>
          <w:rFonts w:ascii="Georgia" w:hAnsi="Georgia"/>
        </w:rPr>
        <w:t>A trend reflects sustained directional displacement.</w:t>
      </w:r>
    </w:p>
    <w:p w14:paraId="5F3A36AC" w14:textId="77777777" w:rsidR="00BE72A7" w:rsidRPr="00BE72A7" w:rsidRDefault="00BE72A7" w:rsidP="00BE72A7">
      <w:pPr>
        <w:pStyle w:val="NormalWeb"/>
        <w:rPr>
          <w:rFonts w:ascii="Georgia" w:hAnsi="Georgia"/>
        </w:rPr>
      </w:pPr>
      <w:r w:rsidRPr="00BE72A7">
        <w:rPr>
          <w:rFonts w:ascii="Georgia" w:hAnsi="Georgia"/>
        </w:rPr>
        <w:t>A range reflects equilibrium, where buyers and sellers are relatively balanced.</w:t>
      </w:r>
    </w:p>
    <w:p w14:paraId="4262EFD5" w14:textId="57505780" w:rsidR="00465BC1" w:rsidRDefault="00BE72A7" w:rsidP="00BE72A7">
      <w:pPr>
        <w:pStyle w:val="NormalWeb"/>
        <w:rPr>
          <w:rFonts w:ascii="Georgia" w:hAnsi="Georgia"/>
        </w:rPr>
      </w:pPr>
      <w:r w:rsidRPr="00BE72A7">
        <w:rPr>
          <w:rFonts w:ascii="Georgia" w:hAnsi="Georgia"/>
        </w:rPr>
        <w:t>Both conditions represent valid market behavior, not opportunity or bias.</w:t>
      </w:r>
    </w:p>
    <w:p w14:paraId="58AEB19A" w14:textId="77777777" w:rsidR="00104EC9" w:rsidRDefault="00104EC9" w:rsidP="00104EC9">
      <w:pPr>
        <w:pStyle w:val="NormalWeb"/>
        <w:rPr>
          <w:rFonts w:ascii="Georgia" w:hAnsi="Georgia"/>
        </w:rPr>
      </w:pPr>
    </w:p>
    <w:p w14:paraId="74532D2A" w14:textId="7FEBBB1D" w:rsidR="00104EC9" w:rsidRPr="00096D0F" w:rsidRDefault="00BE72A7" w:rsidP="00104EC9">
      <w:pPr>
        <w:pStyle w:val="NormalWeb"/>
        <w:rPr>
          <w:rFonts w:ascii="Georgia" w:hAnsi="Georgia"/>
        </w:rPr>
      </w:pPr>
      <w:r>
        <w:rPr>
          <w:noProof/>
        </w:rPr>
        <w:drawing>
          <wp:inline distT="0" distB="0" distL="0" distR="0" wp14:anchorId="160C6C69" wp14:editId="00B0C222">
            <wp:extent cx="5943600" cy="3343275"/>
            <wp:effectExtent l="0" t="0" r="0" b="9525"/>
            <wp:docPr id="13755016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5F97A830" w14:textId="77777777" w:rsidR="00BE72A7" w:rsidRPr="00BE72A7" w:rsidRDefault="00BE72A7" w:rsidP="00BE72A7">
      <w:pPr>
        <w:pStyle w:val="NormalWeb"/>
        <w:rPr>
          <w:rFonts w:ascii="Georgia" w:hAnsi="Georgia"/>
        </w:rPr>
      </w:pPr>
      <w:r w:rsidRPr="00BE72A7">
        <w:rPr>
          <w:rFonts w:ascii="Georgia" w:hAnsi="Georgia"/>
        </w:rPr>
        <w:t>A few higher highs or lower lows do not define a trend.</w:t>
      </w:r>
    </w:p>
    <w:p w14:paraId="581C240F" w14:textId="77777777" w:rsidR="00BE72A7" w:rsidRPr="00BE72A7" w:rsidRDefault="00BE72A7" w:rsidP="00BE72A7">
      <w:pPr>
        <w:pStyle w:val="NormalWeb"/>
        <w:rPr>
          <w:rFonts w:ascii="Georgia" w:hAnsi="Georgia"/>
        </w:rPr>
      </w:pPr>
      <w:r w:rsidRPr="00BE72A7">
        <w:rPr>
          <w:rFonts w:ascii="Georgia" w:hAnsi="Georgia"/>
        </w:rPr>
        <w:t xml:space="preserve">If structure lacks consistency, the market is likely </w:t>
      </w:r>
      <w:proofErr w:type="gramStart"/>
      <w:r w:rsidRPr="00BE72A7">
        <w:rPr>
          <w:rFonts w:ascii="Georgia" w:hAnsi="Georgia"/>
        </w:rPr>
        <w:t>ranging</w:t>
      </w:r>
      <w:proofErr w:type="gramEnd"/>
      <w:r w:rsidRPr="00BE72A7">
        <w:rPr>
          <w:rFonts w:ascii="Georgia" w:hAnsi="Georgia"/>
        </w:rPr>
        <w:t>.</w:t>
      </w:r>
    </w:p>
    <w:p w14:paraId="49956E5F" w14:textId="4AA03F7F" w:rsidR="00BE5924" w:rsidRPr="00AE2413" w:rsidRDefault="00BE72A7" w:rsidP="00BE72A7">
      <w:pPr>
        <w:pStyle w:val="NormalWeb"/>
        <w:rPr>
          <w:rFonts w:ascii="Georgia" w:hAnsi="Georgia"/>
        </w:rPr>
      </w:pPr>
      <w:r w:rsidRPr="00BE72A7">
        <w:rPr>
          <w:rFonts w:ascii="Georgia" w:hAnsi="Georgia"/>
        </w:rPr>
        <w:t>Correct classification reduces emotional reactions to normal price movement.</w:t>
      </w:r>
    </w:p>
    <w:sectPr w:rsidR="00BE5924" w:rsidRPr="00AE2413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104EC9"/>
    <w:rsid w:val="00266BAE"/>
    <w:rsid w:val="00287913"/>
    <w:rsid w:val="002F3405"/>
    <w:rsid w:val="003D6B8E"/>
    <w:rsid w:val="00465BC1"/>
    <w:rsid w:val="00494DF8"/>
    <w:rsid w:val="00587515"/>
    <w:rsid w:val="006F78F1"/>
    <w:rsid w:val="007743E7"/>
    <w:rsid w:val="007B5E39"/>
    <w:rsid w:val="00866BD4"/>
    <w:rsid w:val="00901558"/>
    <w:rsid w:val="00AE2413"/>
    <w:rsid w:val="00BE5924"/>
    <w:rsid w:val="00BE72A7"/>
    <w:rsid w:val="00C4149C"/>
    <w:rsid w:val="00E7534C"/>
    <w:rsid w:val="00EB19FB"/>
    <w:rsid w:val="00F45629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2026-04-28T12:51:00Z</dcterms:created>
  <dcterms:modified xsi:type="dcterms:W3CDTF">2026-04-28T12:51:00Z</dcterms:modified>
</cp:coreProperties>
</file>