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8A1" w14:textId="46AB2269" w:rsidR="00096D0F" w:rsidRDefault="00E83A25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E83A25">
        <w:rPr>
          <w:rFonts w:ascii="Georgia" w:hAnsi="Georgia"/>
          <w:b/>
          <w:bCs/>
          <w:sz w:val="40"/>
          <w:szCs w:val="40"/>
        </w:rPr>
        <w:t xml:space="preserve">Structural </w:t>
      </w:r>
      <w:r w:rsidR="00CB7D6B" w:rsidRPr="00CB7D6B">
        <w:rPr>
          <w:rFonts w:ascii="Georgia" w:hAnsi="Georgia"/>
          <w:b/>
          <w:bCs/>
          <w:sz w:val="40"/>
          <w:szCs w:val="40"/>
        </w:rPr>
        <w:t>Context Integration</w:t>
      </w:r>
    </w:p>
    <w:p w14:paraId="763C6007" w14:textId="7F8EF90E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90A5E0F" w14:textId="77777777" w:rsidR="00465BC1" w:rsidRDefault="00465BC1" w:rsidP="00C4149C">
      <w:pPr>
        <w:pStyle w:val="NormalWeb"/>
        <w:rPr>
          <w:rFonts w:ascii="Georgia" w:hAnsi="Georgia"/>
        </w:rPr>
      </w:pPr>
    </w:p>
    <w:p w14:paraId="07B9E39C" w14:textId="77777777" w:rsidR="00CB7D6B" w:rsidRPr="00CB7D6B" w:rsidRDefault="00CB7D6B" w:rsidP="00CB7D6B">
      <w:pPr>
        <w:pStyle w:val="NormalWeb"/>
        <w:rPr>
          <w:rFonts w:ascii="Georgia" w:hAnsi="Georgia"/>
        </w:rPr>
      </w:pPr>
      <w:r w:rsidRPr="00CB7D6B">
        <w:rPr>
          <w:rFonts w:ascii="Georgia" w:hAnsi="Georgia"/>
        </w:rPr>
        <w:t>Structural context integration is the process of analyzing market structure by combining swing points, sequencing, trend or range classification, break of structure, continuation, and failure into a unified framework.</w:t>
      </w:r>
    </w:p>
    <w:p w14:paraId="74059697" w14:textId="015D9F75" w:rsidR="00096D0F" w:rsidRDefault="00CB7D6B" w:rsidP="00CB7D6B">
      <w:pPr>
        <w:pStyle w:val="NormalWeb"/>
        <w:rPr>
          <w:rFonts w:ascii="Georgia" w:hAnsi="Georgia"/>
        </w:rPr>
      </w:pPr>
      <w:r w:rsidRPr="00CB7D6B">
        <w:rPr>
          <w:rFonts w:ascii="Georgia" w:hAnsi="Georgia"/>
        </w:rPr>
        <w:t>It represents a complete structural interpretation of price behavior</w:t>
      </w:r>
      <w:r w:rsidR="009B054B" w:rsidRPr="009B054B">
        <w:rPr>
          <w:rFonts w:ascii="Georgia" w:hAnsi="Georgia"/>
        </w:rPr>
        <w:t>.</w:t>
      </w:r>
    </w:p>
    <w:p w14:paraId="0CEB0ED8" w14:textId="77777777" w:rsidR="006F78F1" w:rsidRDefault="006F78F1" w:rsidP="006F78F1">
      <w:pPr>
        <w:pStyle w:val="NormalWeb"/>
        <w:rPr>
          <w:rFonts w:ascii="Georgia" w:hAnsi="Georgia"/>
        </w:rPr>
      </w:pPr>
    </w:p>
    <w:p w14:paraId="55FA763A" w14:textId="1572187E" w:rsidR="00494DF8" w:rsidRDefault="00CB7D6B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476C85">
        <w:rPr>
          <w:rFonts w:ascii="Georgia" w:hAnsi="Georgia"/>
          <w:noProof/>
          <w:sz w:val="22"/>
          <w:szCs w:val="22"/>
        </w:rPr>
        <w:drawing>
          <wp:inline distT="0" distB="0" distL="0" distR="0" wp14:anchorId="37490B3E" wp14:editId="50C0F489">
            <wp:extent cx="5943600" cy="3345180"/>
            <wp:effectExtent l="0" t="0" r="0" b="7620"/>
            <wp:docPr id="1642277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413">
        <w:rPr>
          <w:noProof/>
        </w:rPr>
        <w:t xml:space="preserve"> </w:t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22BBA1D9" w14:textId="77777777" w:rsidR="00CB7D6B" w:rsidRPr="00CB7D6B" w:rsidRDefault="00494DF8" w:rsidP="00CB7D6B">
      <w:pPr>
        <w:pStyle w:val="NormalWeb"/>
        <w:rPr>
          <w:rFonts w:ascii="Georgia" w:hAnsi="Georgia"/>
        </w:rPr>
      </w:pPr>
      <w:r>
        <w:br/>
      </w:r>
      <w:r w:rsidR="00CB7D6B" w:rsidRPr="00CB7D6B">
        <w:rPr>
          <w:rFonts w:ascii="Georgia" w:hAnsi="Georgia"/>
        </w:rPr>
        <w:t>Individual concepts provide partial understanding.</w:t>
      </w:r>
    </w:p>
    <w:p w14:paraId="133CC80B" w14:textId="77777777" w:rsidR="00CB7D6B" w:rsidRPr="00CB7D6B" w:rsidRDefault="00CB7D6B" w:rsidP="00CB7D6B">
      <w:pPr>
        <w:pStyle w:val="NormalWeb"/>
        <w:rPr>
          <w:rFonts w:ascii="Georgia" w:hAnsi="Georgia"/>
        </w:rPr>
      </w:pPr>
      <w:r w:rsidRPr="00CB7D6B">
        <w:rPr>
          <w:rFonts w:ascii="Georgia" w:hAnsi="Georgia"/>
        </w:rPr>
        <w:t>Without integration, analysis becomes fragmented and inconsistent.</w:t>
      </w:r>
    </w:p>
    <w:p w14:paraId="2919BE63" w14:textId="1DD3090B" w:rsidR="00096D0F" w:rsidRDefault="00CB7D6B" w:rsidP="00CB7D6B">
      <w:pPr>
        <w:pStyle w:val="NormalWeb"/>
        <w:rPr>
          <w:rFonts w:ascii="Georgia" w:hAnsi="Georgia"/>
        </w:rPr>
      </w:pPr>
      <w:r w:rsidRPr="00CB7D6B">
        <w:rPr>
          <w:rFonts w:ascii="Georgia" w:hAnsi="Georgia"/>
        </w:rPr>
        <w:t>Effective market interpretation requires combining all structural elements into a single coherent view</w:t>
      </w:r>
      <w:r w:rsidR="009B054B" w:rsidRPr="009B054B">
        <w:rPr>
          <w:rFonts w:ascii="Georgia" w:hAnsi="Georgia"/>
        </w:rPr>
        <w:t>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lastRenderedPageBreak/>
        <w:t>Professional Perspective</w:t>
      </w:r>
    </w:p>
    <w:p w14:paraId="1A870213" w14:textId="3E4BBAED" w:rsidR="00096D0F" w:rsidRDefault="00096D0F" w:rsidP="00C4149C">
      <w:pPr>
        <w:pStyle w:val="NormalWeb"/>
        <w:rPr>
          <w:rFonts w:ascii="Georgia" w:hAnsi="Georgia"/>
        </w:rPr>
      </w:pPr>
    </w:p>
    <w:p w14:paraId="16A6D0F8" w14:textId="77777777" w:rsidR="00CB7D6B" w:rsidRPr="00CB7D6B" w:rsidRDefault="00CB7D6B" w:rsidP="00CB7D6B">
      <w:pPr>
        <w:pStyle w:val="NormalWeb"/>
        <w:rPr>
          <w:rFonts w:ascii="Georgia" w:hAnsi="Georgia"/>
        </w:rPr>
      </w:pPr>
      <w:r w:rsidRPr="00CB7D6B">
        <w:rPr>
          <w:rFonts w:ascii="Georgia" w:hAnsi="Georgia"/>
        </w:rPr>
        <w:t>Institutional analysis does not rely on isolated observations.</w:t>
      </w:r>
    </w:p>
    <w:p w14:paraId="18AB6B53" w14:textId="77777777" w:rsidR="00CB7D6B" w:rsidRPr="00CB7D6B" w:rsidRDefault="00CB7D6B" w:rsidP="00CB7D6B">
      <w:pPr>
        <w:pStyle w:val="NormalWeb"/>
        <w:rPr>
          <w:rFonts w:ascii="Georgia" w:hAnsi="Georgia"/>
        </w:rPr>
      </w:pPr>
      <w:r w:rsidRPr="00CB7D6B">
        <w:rPr>
          <w:rFonts w:ascii="Georgia" w:hAnsi="Georgia"/>
        </w:rPr>
        <w:t>It evaluates how structure evolves over time through interaction between swings, sequences, and structural changes.</w:t>
      </w:r>
    </w:p>
    <w:p w14:paraId="4262EFD5" w14:textId="03410F98" w:rsidR="00465BC1" w:rsidRDefault="00CB7D6B" w:rsidP="00CB7D6B">
      <w:pPr>
        <w:pStyle w:val="NormalWeb"/>
        <w:rPr>
          <w:rFonts w:ascii="Georgia" w:hAnsi="Georgia"/>
        </w:rPr>
      </w:pPr>
      <w:r w:rsidRPr="00CB7D6B">
        <w:rPr>
          <w:rFonts w:ascii="Georgia" w:hAnsi="Georgia"/>
        </w:rPr>
        <w:t>Context defines meaning—not individual events</w:t>
      </w:r>
      <w:r w:rsidR="00BE72A7" w:rsidRPr="00BE72A7">
        <w:rPr>
          <w:rFonts w:ascii="Georgia" w:hAnsi="Georgia"/>
        </w:rPr>
        <w:t>.</w:t>
      </w:r>
    </w:p>
    <w:p w14:paraId="58AEB19A" w14:textId="77777777" w:rsidR="00104EC9" w:rsidRDefault="00104EC9" w:rsidP="00104EC9">
      <w:pPr>
        <w:pStyle w:val="NormalWeb"/>
        <w:rPr>
          <w:rFonts w:ascii="Georgia" w:hAnsi="Georgia"/>
        </w:rPr>
      </w:pPr>
    </w:p>
    <w:p w14:paraId="74532D2A" w14:textId="4CC8AEAB" w:rsidR="00104EC9" w:rsidRPr="00096D0F" w:rsidRDefault="00CB7D6B" w:rsidP="00104EC9">
      <w:pPr>
        <w:pStyle w:val="NormalWeb"/>
        <w:rPr>
          <w:rFonts w:ascii="Georgia" w:hAnsi="Georgia"/>
        </w:rPr>
      </w:pPr>
      <w:r w:rsidRPr="00476C85">
        <w:rPr>
          <w:rFonts w:ascii="Georgia" w:hAnsi="Georgia"/>
          <w:noProof/>
          <w:sz w:val="22"/>
          <w:szCs w:val="22"/>
        </w:rPr>
        <w:drawing>
          <wp:inline distT="0" distB="0" distL="0" distR="0" wp14:anchorId="0C7FEBBB" wp14:editId="093C61D2">
            <wp:extent cx="5943600" cy="3343275"/>
            <wp:effectExtent l="0" t="0" r="0" b="9525"/>
            <wp:docPr id="1839300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A0BF57B" w14:textId="236946DA" w:rsidR="00102E88" w:rsidRDefault="00102E88" w:rsidP="00102E88">
      <w:pPr>
        <w:pStyle w:val="NormalWeb"/>
        <w:rPr>
          <w:rFonts w:ascii="Georgia" w:hAnsi="Georgia"/>
        </w:rPr>
      </w:pPr>
    </w:p>
    <w:p w14:paraId="4A4D3564" w14:textId="77777777" w:rsidR="00CB7D6B" w:rsidRPr="00CB7D6B" w:rsidRDefault="00CB7D6B" w:rsidP="00CB7D6B">
      <w:pPr>
        <w:pStyle w:val="NormalWeb"/>
        <w:rPr>
          <w:rFonts w:ascii="Georgia" w:hAnsi="Georgia"/>
        </w:rPr>
      </w:pPr>
      <w:r w:rsidRPr="00CB7D6B">
        <w:rPr>
          <w:rFonts w:ascii="Georgia" w:hAnsi="Georgia"/>
        </w:rPr>
        <w:t>A single structural event does not define the market.</w:t>
      </w:r>
    </w:p>
    <w:p w14:paraId="0F06282E" w14:textId="77777777" w:rsidR="00CB7D6B" w:rsidRPr="00CB7D6B" w:rsidRDefault="00CB7D6B" w:rsidP="00CB7D6B">
      <w:pPr>
        <w:pStyle w:val="NormalWeb"/>
        <w:rPr>
          <w:rFonts w:ascii="Georgia" w:hAnsi="Georgia"/>
        </w:rPr>
      </w:pPr>
      <w:r w:rsidRPr="00CB7D6B">
        <w:rPr>
          <w:rFonts w:ascii="Georgia" w:hAnsi="Georgia"/>
        </w:rPr>
        <w:t>Structure must be interpreted as a sequence of interactions.</w:t>
      </w:r>
    </w:p>
    <w:p w14:paraId="49956E5F" w14:textId="7A4020EF" w:rsidR="00BE5924" w:rsidRPr="00AE2413" w:rsidRDefault="00CB7D6B" w:rsidP="00CB7D6B">
      <w:pPr>
        <w:pStyle w:val="NormalWeb"/>
        <w:rPr>
          <w:rFonts w:ascii="Georgia" w:hAnsi="Georgia"/>
        </w:rPr>
      </w:pPr>
      <w:r w:rsidRPr="00CB7D6B">
        <w:rPr>
          <w:rFonts w:ascii="Georgia" w:hAnsi="Georgia"/>
        </w:rPr>
        <w:t>Consistency in reasoning is more important than isolated correctness</w:t>
      </w:r>
      <w:r w:rsidR="00BE72A7" w:rsidRPr="00BE72A7">
        <w:rPr>
          <w:rFonts w:ascii="Georgia" w:hAnsi="Georgia"/>
        </w:rPr>
        <w:t>.</w:t>
      </w:r>
    </w:p>
    <w:sectPr w:rsidR="00BE5924" w:rsidRPr="00AE2413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102E88"/>
    <w:rsid w:val="00104EC9"/>
    <w:rsid w:val="00266BAE"/>
    <w:rsid w:val="00287913"/>
    <w:rsid w:val="002F3405"/>
    <w:rsid w:val="003D6B8E"/>
    <w:rsid w:val="00465BC1"/>
    <w:rsid w:val="00494DF8"/>
    <w:rsid w:val="00587515"/>
    <w:rsid w:val="006F78F1"/>
    <w:rsid w:val="007743E7"/>
    <w:rsid w:val="007B5E39"/>
    <w:rsid w:val="00866BD4"/>
    <w:rsid w:val="008A2BBE"/>
    <w:rsid w:val="00901558"/>
    <w:rsid w:val="009B054B"/>
    <w:rsid w:val="00AE2413"/>
    <w:rsid w:val="00B70C33"/>
    <w:rsid w:val="00BE5924"/>
    <w:rsid w:val="00BE72A7"/>
    <w:rsid w:val="00C4149C"/>
    <w:rsid w:val="00CB7D6B"/>
    <w:rsid w:val="00E7534C"/>
    <w:rsid w:val="00E83A25"/>
    <w:rsid w:val="00EB19FB"/>
    <w:rsid w:val="00F45629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2026-06-09T12:08:00Z</dcterms:created>
  <dcterms:modified xsi:type="dcterms:W3CDTF">2026-06-09T12:08:00Z</dcterms:modified>
</cp:coreProperties>
</file>