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30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по дисциплине «Архитектура компьютера»</w:t>
      </w:r>
    </w:p>
    <w:p>
      <w:pPr>
        <w:pStyle w:val="Author"/>
      </w:pPr>
      <w:r>
        <w:t xml:space="preserve">Дембирел Тимур Леонидович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Российский университет дружбы народов</w:t>
      </w:r>
    </w:p>
    <w:p>
      <w:pPr>
        <w:pStyle w:val="Abstract"/>
      </w:pPr>
      <w:r>
        <w:t xml:space="preserve">Факультет физико-математических и естественных наук</w:t>
      </w:r>
    </w:p>
    <w:p>
      <w:pPr>
        <w:pStyle w:val="Abstract"/>
      </w:pPr>
      <w:r>
        <w:t xml:space="preserve">Кафедра прикладной информатики и теории вероятностей</w:t>
      </w:r>
    </w:p>
    <w:p>
      <w:pPr>
        <w:pStyle w:val="Abstract"/>
      </w:pPr>
      <w:r>
        <w:t xml:space="preserve">Москва 2025г.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навыков написания программ с использованием подпрограмм. Знакомство с методами отладки при помощи GDB и его основными возможностями.</w:t>
      </w:r>
    </w:p>
    <w:bookmarkEnd w:id="20"/>
    <w:bookmarkStart w:id="14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В</w:t>
      </w:r>
      <w:r>
        <w:t xml:space="preserve"> </w:t>
      </w:r>
      <w:hyperlink w:anchor="tbl-commands">
        <w:r>
          <w:rPr>
            <w:rStyle w:val="Hyperlink"/>
          </w:rPr>
          <w:t xml:space="preserve">Таблица 1</w:t>
        </w:r>
      </w:hyperlink>
      <w:r>
        <w:t xml:space="preserve"> </w:t>
      </w:r>
      <w:r>
        <w:t xml:space="preserve">приведены основные команды, используемые при работе с git, элементами программирования.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command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Основные команды, используемые при работе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751"/>
              <w:gridCol w:w="416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Команды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touch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Создание файла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nasm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Компилятор ассемблера NASM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git add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Добавление изменений в индекс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git commit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Создание коммита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git push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Отправка изменений на удаленный репозиторий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ld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Связывает объектные файлы в исполняемую программу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mkdir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Создает новую директорию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GDB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Производит отладку многих языков программирования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quit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Команда для выхода из отладчика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disassemble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Команда для просмотра дизассемблированного кода программы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‘break’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Команда для создания точки останова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‘info breakpoints’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Команда для вывода информации о всех установленных точках останова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‘stepi(si)’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Позволяет выполнять программу по шагам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‘info registers’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Команда для просмотра содержимого регистров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t xml:space="preserve">Создаем каталог для выполнения лабораторной работы № 9, переходим в него и создаем файл lab09-1.asm</w:t>
      </w:r>
      <w:r>
        <w:t xml:space="preserve"> 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4800600" cy="71432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./image/sc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714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Создаем</w:t>
            </w:r>
          </w:p>
          <w:bookmarkEnd w:id="25"/>
        </w:tc>
      </w:tr>
    </w:tbl>
    <w:p>
      <w:pPr>
        <w:pStyle w:val="BodyText"/>
      </w:pPr>
      <w:r>
        <w:t xml:space="preserve">Введем в файл lab09-1.asm текст программы из листинга 9.1 с помощью любого текстового редактора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4745254" cy="4543124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/image/sc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5254" cy="4543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Вводим</w:t>
            </w:r>
          </w:p>
          <w:bookmarkEnd w:id="29"/>
        </w:tc>
      </w:tr>
    </w:tbl>
    <w:p>
      <w:pPr>
        <w:pStyle w:val="BodyText"/>
      </w:pPr>
      <w:r>
        <w:t xml:space="preserve">Создаем исполняемый файл и проверяем его</w:t>
      </w:r>
      <w:r>
        <w:t xml:space="preserve"> 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4800600" cy="797125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/image/sc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797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Проверяем</w:t>
            </w:r>
          </w:p>
          <w:bookmarkEnd w:id="33"/>
        </w:tc>
      </w:tr>
    </w:tbl>
    <w:p>
      <w:pPr>
        <w:pStyle w:val="BodyText"/>
      </w:pPr>
      <w:r>
        <w:t xml:space="preserve">Изменяем текст программы, добавив подпрограмму _subcalcul в подпрограмму _calcul</w:t>
      </w:r>
      <w:r>
        <w:t xml:space="preserve"> 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4800600" cy="4487062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./image/sc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4870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Изменяем</w:t>
            </w:r>
          </w:p>
          <w:bookmarkEnd w:id="37"/>
        </w:tc>
      </w:tr>
    </w:tbl>
    <w:p>
      <w:pPr>
        <w:pStyle w:val="BodyText"/>
      </w:pPr>
      <w:r>
        <w:t xml:space="preserve">И также создаем исполняемый файл и проверяем его работу</w:t>
      </w:r>
      <w:r>
        <w:t xml:space="preserve"> 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4800600" cy="655432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image/sc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554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Проверяем</w:t>
            </w:r>
          </w:p>
          <w:bookmarkEnd w:id="41"/>
        </w:tc>
      </w:tr>
    </w:tbl>
    <w:p>
      <w:pPr>
        <w:pStyle w:val="BodyText"/>
      </w:pPr>
      <w:r>
        <w:t xml:space="preserve">Создаем файл lab09-2.asm с текстом программы из Листинга 9.2</w:t>
      </w:r>
      <w:r>
        <w:t xml:space="preserve"> 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4800600" cy="342008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./image/sc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420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Создаем</w:t>
            </w:r>
          </w:p>
          <w:bookmarkEnd w:id="45"/>
        </w:tc>
      </w:tr>
    </w:tbl>
    <w:p>
      <w:pPr>
        <w:pStyle w:val="BodyText"/>
      </w:pPr>
      <w:r>
        <w:t xml:space="preserve">Получаем исходный файл с помощью отладчика GDB и запускаем команду</w:t>
      </w:r>
      <w:r>
        <w:t xml:space="preserve"> 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4800600" cy="3967075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./image/sc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967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Запускаем</w:t>
            </w:r>
          </w:p>
          <w:bookmarkEnd w:id="49"/>
        </w:tc>
      </w:tr>
    </w:tbl>
    <w:p>
      <w:pPr>
        <w:pStyle w:val="BodyText"/>
      </w:pPr>
      <w:r>
        <w:t xml:space="preserve">Устанавливаем брейкпоинт на метку _start, с которой начинается выполнение любой ассемблерной программы, и запускаем её</w:t>
      </w:r>
      <w:r>
        <w:t xml:space="preserve"> 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4800600" cy="1480324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/image/sc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80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Устанавливаем и запускаем</w:t>
            </w:r>
          </w:p>
          <w:bookmarkEnd w:id="53"/>
        </w:tc>
      </w:tr>
    </w:tbl>
    <w:p>
      <w:pPr>
        <w:pStyle w:val="BodyText"/>
      </w:pPr>
      <w:r>
        <w:t xml:space="preserve">Смотрим дисассимилированный код программы с помощью команды disassemble начиная с метки _start</w:t>
      </w:r>
      <w:r>
        <w:t xml:space="preserve"> 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4533498" cy="3667225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./image/sc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498" cy="3667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Смотрим</w:t>
            </w:r>
          </w:p>
          <w:bookmarkEnd w:id="57"/>
        </w:tc>
      </w:tr>
    </w:tbl>
    <w:p>
      <w:pPr>
        <w:pStyle w:val="BodyText"/>
      </w:pPr>
      <w:r>
        <w:t xml:space="preserve">Переключимся на отображение команд с Intel’овским синтаксисом, введя команду set</w:t>
      </w:r>
      <w:r>
        <w:t xml:space="preserve"> </w:t>
      </w:r>
      <w:r>
        <w:t xml:space="preserve">disassembly-flavor intel</w:t>
      </w:r>
      <w:r>
        <w:t xml:space="preserve"> 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4254366" cy="3850105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/image/sc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366" cy="38501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Переключаемся</w:t>
            </w:r>
          </w:p>
          <w:bookmarkEnd w:id="61"/>
        </w:tc>
      </w:tr>
    </w:tbl>
    <w:p>
      <w:pPr>
        <w:pStyle w:val="BodyText"/>
      </w:pPr>
      <w:r>
        <w:t xml:space="preserve">Различия отображения синтаксиса машинных команд в режимах ATT и Intel:</w:t>
      </w:r>
    </w:p>
    <w:p>
      <w:pPr>
        <w:numPr>
          <w:ilvl w:val="0"/>
          <w:numId w:val="1001"/>
        </w:numPr>
      </w:pPr>
      <w:r>
        <w:t xml:space="preserve">Последовательность операндов: В синтаксисе ATT операнды идут в обратном порядке — сначала указывается исходный операнд, затем принимающий. В синтаксисе Intel, как правило, сохраняется прямой порядок: принимающий операнд записывается первым, исходный — вторым.</w:t>
      </w:r>
    </w:p>
    <w:p>
      <w:pPr>
        <w:numPr>
          <w:ilvl w:val="0"/>
          <w:numId w:val="1001"/>
        </w:numPr>
      </w:pPr>
      <w:r>
        <w:t xml:space="preserve">Разделительные знаки: В синтаксисе ATT для разделения операндов используются запятые. В синтаксисе Intel в качестве разделителей могут выступать как запятые, так и косые черты (/).</w:t>
      </w:r>
    </w:p>
    <w:p>
      <w:pPr>
        <w:numPr>
          <w:ilvl w:val="0"/>
          <w:numId w:val="1001"/>
        </w:numPr>
      </w:pPr>
      <w:r>
        <w:t xml:space="preserve">Указание размера операнда: В синтаксисе ATT размер операнда задаётся перед ним с помощью префиксов: «b» (байт), «w» (слово), «l» (двойное слово), «q» (учетверённое слово). В синтаксисе Intel размер указывается после операнда через аналогичные суффиксы.</w:t>
      </w:r>
    </w:p>
    <w:p>
      <w:pPr>
        <w:numPr>
          <w:ilvl w:val="0"/>
          <w:numId w:val="1001"/>
        </w:numPr>
      </w:pPr>
      <w:r>
        <w:t xml:space="preserve">Обозначение непосредственных значений: В синтаксисе ATT перед непосредственным значением (константой) ставится символ «$». В синтаксисе Intel такой знак не используется.</w:t>
      </w:r>
    </w:p>
    <w:p>
      <w:pPr>
        <w:numPr>
          <w:ilvl w:val="0"/>
          <w:numId w:val="1001"/>
        </w:numPr>
      </w:pPr>
      <w:r>
        <w:t xml:space="preserve">Запись адресов памяти: В синтаксисе ATT адреса заключаются в круглые скобки. В синтаксисе Intel адреса записываются без скобок.</w:t>
      </w:r>
    </w:p>
    <w:p>
      <w:pPr>
        <w:numPr>
          <w:ilvl w:val="0"/>
          <w:numId w:val="1001"/>
        </w:numPr>
      </w:pPr>
      <w:r>
        <w:t xml:space="preserve">Именование регистров: В синтаксисе ATT имена регистров предваряются символом «%». В синтаксисе Intel регистры могут обозначаться с префиксами «R» или «E» (например, RAX или EAX), но без дополнительных символов.</w:t>
      </w:r>
    </w:p>
    <w:p>
      <w:pPr>
        <w:pStyle w:val="FirstParagraph"/>
      </w:pPr>
      <w:r>
        <w:t xml:space="preserve">Включим режим псевдографики для более удобного анализа программы, проверим была ли установлена точка останова и установим точку останова предпоследней инструкции</w:t>
      </w:r>
      <w:r>
        <w:t xml:space="preserve"> 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4800600" cy="2610274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./image/sc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6102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Включаем и устанавливаем</w:t>
            </w:r>
          </w:p>
          <w:bookmarkEnd w:id="65"/>
        </w:tc>
      </w:tr>
    </w:tbl>
    <w:p>
      <w:pPr>
        <w:pStyle w:val="BodyText"/>
      </w:pPr>
      <w:r>
        <w:t xml:space="preserve">Посмотрим информацию о всех установленных точках останова</w:t>
      </w:r>
      <w:r>
        <w:t xml:space="preserve"> 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4800600" cy="114221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./image/sc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1422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Смотрим</w:t>
            </w:r>
          </w:p>
          <w:bookmarkEnd w:id="69"/>
        </w:tc>
      </w:tr>
    </w:tbl>
    <w:p>
      <w:pPr>
        <w:pStyle w:val="BodyText"/>
      </w:pPr>
      <w:r>
        <w:t xml:space="preserve">Выполним 5 инструкций с помощью команды stepi (или si) и проследим за изменением значений регистров</w:t>
      </w:r>
      <w:r>
        <w:t xml:space="preserve"> 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4800600" cy="3021717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./image/sc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0217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Выполняем и отслеживаем</w:t>
            </w:r>
          </w:p>
          <w:bookmarkEnd w:id="73"/>
        </w:tc>
      </w:tr>
    </w:tbl>
    <w:p>
      <w:pPr>
        <w:pStyle w:val="BodyText"/>
      </w:pPr>
      <w:r>
        <w:t xml:space="preserve">В результате выполнения команд менялись регистры: ebx, ecx, edx,eax, eip.</w:t>
      </w:r>
    </w:p>
    <w:p>
      <w:pPr>
        <w:pStyle w:val="BodyText"/>
      </w:pPr>
      <w:r>
        <w:t xml:space="preserve">Посмотрим значение переменной msg1 по имени</w:t>
      </w:r>
      <w:r>
        <w:t xml:space="preserve"> 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320715" cy="712269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/image/sc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0715" cy="7122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Смотрим</w:t>
            </w:r>
          </w:p>
          <w:bookmarkEnd w:id="77"/>
        </w:tc>
      </w:tr>
    </w:tbl>
    <w:p>
      <w:pPr>
        <w:pStyle w:val="BodyText"/>
      </w:pPr>
      <w:r>
        <w:t xml:space="preserve">Посмотрим значение переменной msg2 по адресу</w:t>
      </w:r>
      <w:r>
        <w:t xml:space="preserve"> 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667225" cy="721894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/image/sc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7225" cy="7218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Смотрим</w:t>
            </w:r>
          </w:p>
          <w:bookmarkEnd w:id="81"/>
        </w:tc>
      </w:tr>
    </w:tbl>
    <w:p>
      <w:pPr>
        <w:pStyle w:val="BodyText"/>
      </w:pPr>
      <w:r>
        <w:t xml:space="preserve">Изменим первый символ переменной msg1</w:t>
      </w:r>
      <w:r>
        <w:t xml:space="preserve"> 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291840" cy="885524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./image/sc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1840" cy="885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Изменяем</w:t>
            </w:r>
          </w:p>
          <w:bookmarkEnd w:id="85"/>
        </w:tc>
      </w:tr>
    </w:tbl>
    <w:p>
      <w:pPr>
        <w:pStyle w:val="BodyText"/>
      </w:pPr>
      <w:r>
        <w:t xml:space="preserve">Заменим любой символ во второй переменной msg2</w:t>
      </w:r>
      <w:r>
        <w:t xml:space="preserve"> 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3676850" cy="827772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./image/sc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6850" cy="8277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Заменяем</w:t>
            </w:r>
          </w:p>
          <w:bookmarkEnd w:id="89"/>
        </w:tc>
      </w:tr>
    </w:tbl>
    <w:p>
      <w:pPr>
        <w:pStyle w:val="BodyText"/>
      </w:pPr>
      <w:r>
        <w:t xml:space="preserve">Смотрим значение регистра edx в разных форматах</w:t>
      </w:r>
      <w:r>
        <w:t xml:space="preserve"> 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8"/>
          <w:p>
            <w:pPr>
              <w:pStyle w:val="Compact"/>
              <w:jc w:val="center"/>
            </w:pPr>
            <w:r>
              <w:drawing>
                <wp:inline>
                  <wp:extent cx="1414913" cy="1568917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./image/sc18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4913" cy="15689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Смотрим</w:t>
            </w:r>
          </w:p>
          <w:bookmarkEnd w:id="93"/>
        </w:tc>
      </w:tr>
    </w:tbl>
    <w:p>
      <w:pPr>
        <w:pStyle w:val="BodyText"/>
      </w:pPr>
      <w:r>
        <w:t xml:space="preserve">С помощью команды set изменим значение регистра ebx</w:t>
      </w:r>
      <w:r>
        <w:t xml:space="preserve"> 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9"/>
          <w:p>
            <w:pPr>
              <w:pStyle w:val="Compact"/>
              <w:jc w:val="center"/>
            </w:pPr>
            <w:r>
              <w:drawing>
                <wp:inline>
                  <wp:extent cx="1790298" cy="1549667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./image/sc19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298" cy="15496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Изменяем</w:t>
            </w:r>
          </w:p>
          <w:bookmarkEnd w:id="97"/>
        </w:tc>
      </w:tr>
    </w:tbl>
    <w:p>
      <w:pPr>
        <w:pStyle w:val="BodyText"/>
      </w:pPr>
      <w:r>
        <w:t xml:space="preserve">Команда без кавычек интерпретирует вводимое значение как числовую константу, а не как символьную строку.</w:t>
      </w:r>
    </w:p>
    <w:p>
      <w:pPr>
        <w:pStyle w:val="BodyText"/>
      </w:pPr>
      <w:r>
        <w:t xml:space="preserve">Завершаем программу и выходим их GDB</w:t>
      </w:r>
      <w:r>
        <w:t xml:space="preserve"> 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20"/>
          <w:p>
            <w:pPr>
              <w:pStyle w:val="Compact"/>
              <w:jc w:val="center"/>
            </w:pPr>
            <w:r>
              <w:drawing>
                <wp:inline>
                  <wp:extent cx="4061861" cy="1087654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./image/sc2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1861" cy="10876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Выходим</w:t>
            </w:r>
          </w:p>
          <w:bookmarkEnd w:id="101"/>
        </w:tc>
      </w:tr>
    </w:tbl>
    <w:p>
      <w:pPr>
        <w:pStyle w:val="BodyText"/>
      </w:pPr>
      <w:r>
        <w:t xml:space="preserve">Скопируем файл lab8-2.asm, созданный при выполнении лабораторной работы №8, с программой выводящей на экран аргументы командной строки в файл с именем lab09-3.asm</w:t>
      </w:r>
      <w:r>
        <w:t xml:space="preserve"> 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1"/>
          <w:p>
            <w:pPr>
              <w:pStyle w:val="Compact"/>
              <w:jc w:val="center"/>
            </w:pPr>
            <w:r>
              <w:drawing>
                <wp:inline>
                  <wp:extent cx="4800600" cy="110163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./image/sc2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101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Копируем</w:t>
            </w:r>
          </w:p>
          <w:bookmarkEnd w:id="105"/>
        </w:tc>
      </w:tr>
    </w:tbl>
    <w:p>
      <w:pPr>
        <w:pStyle w:val="BodyText"/>
      </w:pPr>
      <w:r>
        <w:t xml:space="preserve">Создаем исполняемый файл и запускаем его в отладчике GDB, указав аргументы</w:t>
      </w:r>
      <w:r>
        <w:t xml:space="preserve"> </w:t>
      </w:r>
      <w:r>
        <w:rPr>
          <w:b/>
          <w:bCs/>
        </w:rPr>
        <w:t xml:space="preserve">?@fig-022</w:t>
      </w:r>
      <w:r>
        <w:t xml:space="preserve">.</w:t>
      </w:r>
    </w:p>
    <w:p>
      <w:pPr>
        <w:pStyle w:val="BodyText"/>
      </w:pPr>
      <w:r>
        <w:drawing>
          <wp:inline>
            <wp:extent cx="5334000" cy="434803"/>
            <wp:effectExtent b="0" l="0" r="0" t="0"/>
            <wp:docPr descr="Создаем и запускаем" title="" id="107" name="Picture"/>
            <a:graphic>
              <a:graphicData uri="http://schemas.openxmlformats.org/drawingml/2006/picture">
                <pic:pic>
                  <pic:nvPicPr>
                    <pic:cNvPr descr="./image/sc22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{#fig-022 width=90%</w:t>
      </w:r>
    </w:p>
    <w:p>
      <w:pPr>
        <w:pStyle w:val="BodyText"/>
      </w:pPr>
      <w:r>
        <w:t xml:space="preserve">Установим точку останова перед первой инструкцией в программе и запустим ее</w:t>
      </w:r>
      <w:r>
        <w:t xml:space="preserve"> </w:t>
      </w:r>
      <w:hyperlink w:anchor="fig-023">
        <w:r>
          <w:rPr>
            <w:rStyle w:val="Hyperlink"/>
          </w:rPr>
          <w:t xml:space="preserve">рис. 22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3"/>
          <w:p>
            <w:pPr>
              <w:pStyle w:val="Compact"/>
              <w:jc w:val="center"/>
            </w:pPr>
            <w:r>
              <w:drawing>
                <wp:inline>
                  <wp:extent cx="4800600" cy="2095948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./image/sc23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0959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Устанавливаем</w:t>
            </w:r>
          </w:p>
          <w:bookmarkEnd w:id="112"/>
        </w:tc>
      </w:tr>
    </w:tbl>
    <w:p>
      <w:pPr>
        <w:pStyle w:val="BodyText"/>
      </w:pPr>
      <w:r>
        <w:t xml:space="preserve">Смотрим позиции стека по разным адресам</w:t>
      </w:r>
      <w:r>
        <w:t xml:space="preserve"> </w:t>
      </w:r>
      <w:hyperlink w:anchor="fig-024">
        <w:r>
          <w:rPr>
            <w:rStyle w:val="Hyperlink"/>
          </w:rPr>
          <w:t xml:space="preserve">рис. 23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24"/>
          <w:p>
            <w:pPr>
              <w:pStyle w:val="Compact"/>
              <w:jc w:val="center"/>
            </w:pPr>
            <w:r>
              <w:drawing>
                <wp:inline>
                  <wp:extent cx="4800600" cy="2075479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./image/sc24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075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Смотрим</w:t>
            </w:r>
          </w:p>
          <w:bookmarkEnd w:id="116"/>
        </w:tc>
      </w:tr>
    </w:tbl>
    <w:p>
      <w:pPr>
        <w:pStyle w:val="BodyText"/>
      </w:pPr>
      <w:r>
        <w:t xml:space="preserve">Шаг изменения адреса равен 4, потому что адресные регистры имеют размерность 32 бита(4 байта).</w:t>
      </w:r>
    </w:p>
    <w:p>
      <w:pPr>
        <w:pStyle w:val="BodyText"/>
      </w:pPr>
      <w:r>
        <w:t xml:space="preserve">#Задание для самостоятельной работы</w:t>
      </w:r>
    </w:p>
    <w:p>
      <w:pPr>
        <w:pStyle w:val="Compact"/>
        <w:numPr>
          <w:ilvl w:val="0"/>
          <w:numId w:val="1002"/>
        </w:numPr>
      </w:pPr>
      <w:r>
        <w:t xml:space="preserve">Преобразуйте программу из лабораторной работы №8 (Задание №1 для самостоятельной работы), реализовав вычисление значения функции f(x) как подпрограмму.</w:t>
      </w:r>
    </w:p>
    <w:p>
      <w:pPr>
        <w:pStyle w:val="FirstParagraph"/>
      </w:pPr>
      <w:r>
        <w:t xml:space="preserve">Копируем файл (из 1 задания из заданий для самостоятельной работы) tasklab8.asm в файл с именем lab09-3.asm</w:t>
      </w:r>
      <w:r>
        <w:t xml:space="preserve"> </w:t>
      </w:r>
      <w:hyperlink w:anchor="fig-025">
        <w:r>
          <w:rPr>
            <w:rStyle w:val="Hyperlink"/>
          </w:rPr>
          <w:t xml:space="preserve">рис. 24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25"/>
          <w:p>
            <w:pPr>
              <w:pStyle w:val="Compact"/>
              <w:jc w:val="center"/>
            </w:pPr>
            <w:r>
              <w:drawing>
                <wp:inline>
                  <wp:extent cx="4800600" cy="116782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./image/sc25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167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Копируем</w:t>
            </w:r>
          </w:p>
          <w:bookmarkEnd w:id="120"/>
        </w:tc>
      </w:tr>
    </w:tbl>
    <w:p>
      <w:pPr>
        <w:pStyle w:val="BodyText"/>
      </w:pPr>
      <w:r>
        <w:t xml:space="preserve">Меняем текст программы, создавя подпрограмму</w:t>
      </w:r>
      <w:r>
        <w:t xml:space="preserve"> </w:t>
      </w:r>
      <w:hyperlink w:anchor="fig-026">
        <w:r>
          <w:rPr>
            <w:rStyle w:val="Hyperlink"/>
          </w:rPr>
          <w:t xml:space="preserve">рис. 25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026"/>
          <w:p>
            <w:pPr>
              <w:pStyle w:val="Compact"/>
              <w:jc w:val="center"/>
            </w:pPr>
            <w:r>
              <w:drawing>
                <wp:inline>
                  <wp:extent cx="4800600" cy="482394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./image/sc26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8239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Меняем</w:t>
            </w:r>
          </w:p>
          <w:bookmarkEnd w:id="124"/>
        </w:tc>
      </w:tr>
    </w:tbl>
    <w:p>
      <w:pPr>
        <w:pStyle w:val="BodyText"/>
      </w:pPr>
      <w:r>
        <w:t xml:space="preserve">Создаем исполняемый файл и проверяем его</w:t>
      </w:r>
      <w:r>
        <w:t xml:space="preserve"> </w:t>
      </w:r>
      <w:hyperlink w:anchor="fig-027">
        <w:r>
          <w:rPr>
            <w:rStyle w:val="Hyperlink"/>
          </w:rPr>
          <w:t xml:space="preserve">рис. 26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027"/>
          <w:p>
            <w:pPr>
              <w:pStyle w:val="Compact"/>
              <w:jc w:val="center"/>
            </w:pPr>
            <w:r>
              <w:drawing>
                <wp:inline>
                  <wp:extent cx="4800600" cy="782319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./image/sc27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782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Проверяем</w:t>
            </w:r>
          </w:p>
          <w:bookmarkEnd w:id="128"/>
        </w:tc>
      </w:tr>
    </w:tbl>
    <w:p>
      <w:pPr>
        <w:pStyle w:val="Compact"/>
        <w:numPr>
          <w:ilvl w:val="0"/>
          <w:numId w:val="1003"/>
        </w:numPr>
      </w:pPr>
      <w:r>
        <w:t xml:space="preserve">В листинге 9.3 приведена программа вычисления выражения (3 + 2) ∗ 4 + 5. При запуске данная программа дает неверный результат. Проверьте это. С помощью отладчика GDB, анализируя изменения значений регистров, определите ошибку и исправьте ее.</w:t>
      </w:r>
    </w:p>
    <w:p>
      <w:pPr>
        <w:pStyle w:val="FirstParagraph"/>
      </w:pPr>
      <w:r>
        <w:t xml:space="preserve">Создаем файл для выполнения задания и вводим текст программы из листинга 9.3</w:t>
      </w:r>
      <w:r>
        <w:t xml:space="preserve"> </w:t>
      </w:r>
      <w:hyperlink w:anchor="fig-028">
        <w:r>
          <w:rPr>
            <w:rStyle w:val="Hyperlink"/>
          </w:rPr>
          <w:t xml:space="preserve">рис. 27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028"/>
          <w:p>
            <w:pPr>
              <w:pStyle w:val="Compact"/>
              <w:jc w:val="center"/>
            </w:pPr>
            <w:r>
              <w:drawing>
                <wp:inline>
                  <wp:extent cx="3715351" cy="4273616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./image/sc28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5351" cy="42736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Создаем и вводим</w:t>
            </w:r>
          </w:p>
          <w:bookmarkEnd w:id="132"/>
        </w:tc>
      </w:tr>
    </w:tbl>
    <w:p>
      <w:pPr>
        <w:pStyle w:val="BodyText"/>
      </w:pPr>
      <w:r>
        <w:t xml:space="preserve">Создаем исполняемый файл и проверяем его</w:t>
      </w:r>
      <w:r>
        <w:t xml:space="preserve"> </w:t>
      </w:r>
      <w:hyperlink w:anchor="fig-029">
        <w:r>
          <w:rPr>
            <w:rStyle w:val="Hyperlink"/>
          </w:rPr>
          <w:t xml:space="preserve">рис. 28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029"/>
          <w:p>
            <w:pPr>
              <w:pStyle w:val="Compact"/>
              <w:jc w:val="center"/>
            </w:pPr>
            <w:r>
              <w:drawing>
                <wp:inline>
                  <wp:extent cx="4800600" cy="687478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./image/sc29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87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Проверяем</w:t>
            </w:r>
          </w:p>
          <w:bookmarkEnd w:id="136"/>
        </w:tc>
      </w:tr>
    </w:tbl>
    <w:p>
      <w:pPr>
        <w:pStyle w:val="BodyText"/>
      </w:pPr>
      <w:r>
        <w:t xml:space="preserve">Результат неверный</w:t>
      </w:r>
    </w:p>
    <w:p>
      <w:pPr>
        <w:pStyle w:val="BodyText"/>
      </w:pPr>
      <w:r>
        <w:t xml:space="preserve">Создаем исполняемый файл, запускаем его в отладчике GDB и смотрим на изменение регистров командой stepi(si)</w:t>
      </w:r>
      <w:r>
        <w:t xml:space="preserve"> </w:t>
      </w:r>
      <w:hyperlink w:anchor="fig-030">
        <w:r>
          <w:rPr>
            <w:rStyle w:val="Hyperlink"/>
          </w:rPr>
          <w:t xml:space="preserve">рис. 29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030"/>
          <w:p>
            <w:pPr>
              <w:pStyle w:val="Compact"/>
              <w:jc w:val="center"/>
            </w:pPr>
            <w:r>
              <w:drawing>
                <wp:inline>
                  <wp:extent cx="4800600" cy="2847473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./image/sc30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8474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Запускаем и смотрим</w:t>
            </w:r>
          </w:p>
          <w:bookmarkEnd w:id="140"/>
        </w:tc>
      </w:tr>
    </w:tbl>
    <w:p>
      <w:pPr>
        <w:pStyle w:val="BodyText"/>
      </w:pPr>
      <w:r>
        <w:t xml:space="preserve">Изменяем текст программы для корректной работы</w:t>
      </w:r>
      <w:r>
        <w:t xml:space="preserve"> </w:t>
      </w:r>
      <w:hyperlink w:anchor="fig-031">
        <w:r>
          <w:rPr>
            <w:rStyle w:val="Hyperlink"/>
          </w:rPr>
          <w:t xml:space="preserve">рис. 30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031"/>
          <w:p>
            <w:pPr>
              <w:pStyle w:val="Compact"/>
              <w:jc w:val="center"/>
            </w:pPr>
            <w:r>
              <w:drawing>
                <wp:inline>
                  <wp:extent cx="2810576" cy="4061861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./image/sc31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0576" cy="40618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Изменяем</w:t>
            </w:r>
          </w:p>
          <w:bookmarkEnd w:id="144"/>
        </w:tc>
      </w:tr>
    </w:tbl>
    <w:p>
      <w:pPr>
        <w:pStyle w:val="BodyText"/>
      </w:pPr>
      <w:r>
        <w:t xml:space="preserve">Создаем исполняемый файл и проверяем его</w:t>
      </w:r>
      <w:r>
        <w:t xml:space="preserve"> </w:t>
      </w:r>
      <w:hyperlink w:anchor="fig-032">
        <w:r>
          <w:rPr>
            <w:rStyle w:val="Hyperlink"/>
          </w:rPr>
          <w:t xml:space="preserve">рис. 31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032"/>
          <w:p>
            <w:pPr>
              <w:pStyle w:val="Compact"/>
              <w:jc w:val="center"/>
            </w:pPr>
            <w:r>
              <w:drawing>
                <wp:inline>
                  <wp:extent cx="4800600" cy="669713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./image/sc32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697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31: Проверяем</w:t>
            </w:r>
          </w:p>
          <w:bookmarkEnd w:id="148"/>
        </w:tc>
      </w:tr>
    </w:tbl>
    <w:bookmarkEnd w:id="149"/>
    <w:bookmarkStart w:id="15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данной лабораторной работы я приобрел навыки написания программ с использованием подпрограмм. Познакомился с методами отладки при помощи GDB и его основными возможностями.</w:t>
      </w:r>
    </w:p>
    <w:bookmarkEnd w:id="1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30" Target="media/rId30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Дембирел Тимур Леонидович</dc:creator>
  <dc:language>ru-RU</dc:language>
  <cp:keywords/>
  <dcterms:created xsi:type="dcterms:W3CDTF">2025-12-07T20:14:45Z</dcterms:created>
  <dcterms:modified xsi:type="dcterms:W3CDTF">2025-12-07T20:14:45Z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Российский университет дружбы народовФакультет физико-математических и естественных наукКафедра прикладной информатики и теории вероятностейМосква 2025г.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csl">
    <vt:lpwstr>_resources/csl/gost-r-7-0-5-2008-numeric.csl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по дисциплине «Архитектура компьютера»</vt:lpwstr>
  </property>
  <property fmtid="{D5CDD505-2E9C-101B-9397-08002B2CF9AE}" pid="14" name="toc-title">
    <vt:lpwstr>Содержание</vt:lpwstr>
  </property>
</Properties>
</file>