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jc w:val="left"/>
      </w:pPr>
      <w:r>
        <w:rPr>
          <w:rFonts w:ascii="Helvetica" w:hAnsi="Helvetica" w:cs="Helvetica" w:eastAsia="Helvetica"/>
          <w:sz w:val="40"/>
          <w:color w:val="142D50"/>
          <w:b w:val="on"/>
        </w:rPr>
        <w:t>GraphCompose → Word, from one document</w:t>
      </w:r>
    </w:p>
    <w:p>
      <w:pPr>
        <w:jc w:val="left"/>
      </w:pPr>
      <w:r>
        <w:rPr>
          <w:rFonts w:ascii="Helvetica" w:hAnsi="Helvetica" w:cs="Helvetica" w:eastAsia="Helvetica"/>
          <w:sz w:val="28"/>
          <w:color w:val="000000"/>
        </w:rPr>
        <w:t xml:space="preserve">This file exists twice: a fixed-layout </w:t>
      </w:r>
      <w:r>
        <w:rPr>
          <w:rFonts w:ascii="Helvetica" w:hAnsi="Helvetica" w:cs="Helvetica" w:eastAsia="Helvetica"/>
          <w:sz w:val="28"/>
          <w:color w:val="000000"/>
          <w:b w:val="on"/>
        </w:rPr>
        <w:t>PDF</w:t>
      </w:r>
      <w:r>
        <w:rPr>
          <w:rFonts w:ascii="Helvetica" w:hAnsi="Helvetica" w:cs="Helvetica" w:eastAsia="Helvetica"/>
          <w:sz w:val="28"/>
          <w:color w:val="000000"/>
        </w:rPr>
        <w:t xml:space="preserve"> and an editable </w:t>
      </w:r>
      <w:r>
        <w:rPr>
          <w:rFonts w:ascii="Helvetica" w:hAnsi="Helvetica" w:cs="Helvetica" w:eastAsia="Helvetica"/>
          <w:sz w:val="28"/>
          <w:color w:val="000000"/>
          <w:b w:val="on"/>
        </w:rPr>
        <w:t>DOCX</w:t>
      </w:r>
      <w:r>
        <w:rPr>
          <w:rFonts w:ascii="Helvetica" w:hAnsi="Helvetica" w:cs="Helvetica" w:eastAsia="Helvetica"/>
          <w:sz w:val="28"/>
          <w:color w:val="000000"/>
        </w:rPr>
        <w:t xml:space="preserve"> exported from the same session. Inline runs — </w:t>
      </w:r>
      <w:r>
        <w:rPr>
          <w:rFonts w:ascii="Helvetica" w:hAnsi="Helvetica" w:cs="Helvetica" w:eastAsia="Helvetica"/>
          <w:sz w:val="28"/>
          <w:color w:val="000000"/>
          <w:i w:val="on"/>
        </w:rPr>
        <w:t xml:space="preserve">italic, </w:t>
      </w:r>
      <w:r>
        <w:rPr>
          <w:rFonts w:ascii="Helvetica" w:hAnsi="Helvetica" w:cs="Helvetica" w:eastAsia="Helvetica"/>
          <w:sz w:val="28"/>
          <w:color w:val="C4994C"/>
        </w:rPr>
        <w:t xml:space="preserve">colored, </w:t>
      </w:r>
      <w:r>
        <w:rPr>
          <w:rFonts w:ascii="Helvetica" w:hAnsi="Helvetica" w:cs="Helvetica" w:eastAsia="Helvetica"/>
          <w:sz w:val="28"/>
          <w:color w:val="14505F"/>
          <w:b w:val="on"/>
        </w:rPr>
        <w:t>bold accents</w:t>
      </w:r>
      <w:r>
        <w:rPr>
          <w:rFonts w:ascii="Helvetica" w:hAnsi="Helvetica" w:cs="Helvetica" w:eastAsia="Helvetica"/>
          <w:sz w:val="28"/>
          <w:color w:val="000000"/>
        </w:rPr>
        <w:t xml:space="preserve"> — survive in both.</w:t>
      </w:r>
    </w:p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Lists keep markers and indent</w:t>
      </w:r>
    </w:p>
    <w:p>
      <w:r>
        <w:rPr>
          <w:rFonts w:ascii="Helvetica" w:hAnsi="Helvetica" w:cs="Helvetica" w:eastAsia="Helvetica"/>
          <w:sz w:val="22"/>
          <w:color w:val="222632"/>
        </w:rPr>
        <w:t>- Flat items use the list marker</w:t>
      </w:r>
    </w:p>
    <w:p>
      <w:r>
        <w:rPr>
          <w:rFonts w:ascii="Helvetica" w:hAnsi="Helvetica" w:cs="Helvetica" w:eastAsia="Helvetica"/>
          <w:sz w:val="22"/>
          <w:color w:val="222632"/>
        </w:rPr>
        <w:t>- Word gets one paragraph per item</w:t>
      </w:r>
    </w:p>
    <w:p>
      <w:r>
        <w:rPr>
          <w:rFonts w:ascii="Helvetica" w:hAnsi="Helvetica" w:cs="Helvetica" w:eastAsia="Helvetica"/>
          <w:sz w:val="22"/>
          <w:color w:val="222632"/>
        </w:rPr>
        <w:t>• Nested authoring</w:t>
      </w:r>
    </w:p>
    <w:p>
      <w:r>
        <w:rPr>
          <w:rFonts w:ascii="Helvetica" w:hAnsi="Helvetica" w:cs="Helvetica" w:eastAsia="Helvetica"/>
          <w:sz w:val="22"/>
          <w:color w:val="222632"/>
        </w:rPr>
        <w:t xml:space="preserve">  ◦ Two spaces of indent per depth in Word</w:t>
      </w:r>
    </w:p>
    <w:p>
      <w:r>
        <w:rPr>
          <w:rFonts w:ascii="Helvetica" w:hAnsi="Helvetica" w:cs="Helvetica" w:eastAsia="Helvetica"/>
          <w:sz w:val="22"/>
          <w:color w:val="222632"/>
        </w:rPr>
        <w:t xml:space="preserve">    ▪ Custom markers survive the export</w:t>
      </w:r>
    </w:p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Tables stay tables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Quarter</w:t>
            </w:r>
          </w:p>
        </w:tc>
        <w:tc>
          <w:p>
            <w:r>
              <w:t>Revenue</w:t>
            </w:r>
          </w:p>
        </w:tc>
        <w:tc>
          <w:p>
            <w:r>
              <w:t>Profit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42</w:t>
            </w:r>
          </w:p>
        </w:tc>
        <w:tc>
          <w:p>
            <w:r>
              <w:t>12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55</w:t>
            </w:r>
          </w:p>
        </w:tc>
        <w:tc>
          <w:p>
            <w:r>
              <w:t>17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61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70</w:t>
            </w:r>
          </w:p>
        </w:tc>
        <w:tc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Side-by-side rows become one-row tables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rFonts w:ascii="Helvetica" w:hAnsi="Helvetica" w:cs="Helvetica" w:eastAsia="Helvetica"/>
                <w:sz w:val="22"/>
                <w:color w:val="222632"/>
              </w:rPr>
              <w:t>Left cell — editors keep the columns.</w:t>
            </w:r>
          </w:p>
        </w:tc>
        <w:tc>
          <w:p>
            <w:r>
              <w:rPr>
                <w:rFonts w:ascii="Helvetica" w:hAnsi="Helvetica" w:cs="Helvetica" w:eastAsia="Helvetica"/>
                <w:sz w:val="22"/>
                <w:color w:val="222632"/>
              </w:rPr>
              <w:t>Right cell — content stays editable.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Images embed at their declared size</w:t>
      </w:r>
    </w:p>
    <w:p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Charts fall back to their data</w:t>
      </w:r>
    </w:p>
    <w:p>
      <w:pPr>
        <w:jc w:val="left"/>
      </w:pPr>
      <w:r>
        <w:rPr>
          <w:rFonts w:ascii="Helvetica" w:hAnsi="Helvetica" w:cs="Helvetica" w:eastAsia="Helvetica"/>
          <w:sz w:val="20"/>
          <w:color w:val="666A76"/>
          <w:i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/>
            </w:r>
          </w:p>
        </w:tc>
        <w:tc>
          <w:p>
            <w:r>
              <w:t>Revenue</w:t>
            </w:r>
          </w:p>
        </w:tc>
        <w:tc>
          <w:p>
            <w:r>
              <w:t>Profit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42</w:t>
            </w:r>
          </w:p>
        </w:tc>
        <w:tc>
          <w:p>
            <w:r>
              <w:t>12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55</w:t>
            </w:r>
          </w:p>
        </w:tc>
        <w:tc>
          <w:p>
            <w:r>
              <w:t>17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61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70</w:t>
            </w:r>
          </w:p>
        </w:tc>
        <w:tc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Geometry stays PDF-only by design</w:t>
      </w:r>
    </w:p>
    <w:p>
      <w:pPr>
        <w:jc w:val="left"/>
      </w:pPr>
      <w:r>
        <w:rPr>
          <w:rFonts w:ascii="Helvetica" w:hAnsi="Helvetica" w:cs="Helvetica" w:eastAsia="Helvetica"/>
          <w:sz w:val="20"/>
          <w:color w:val="666A76"/>
          <w:i w:val="on"/>
        </w:rPr>
        <w:t>The divider and the badge below render in the PDF; the semantic export skips pure geometry and writes the badge's text inline instead.</w:t>
      </w:r>
    </w:p>
    <w:p>
      <w:pPr>
        <w:jc w:val="center"/>
      </w:pPr>
      <w:r>
        <w:rPr>
          <w:rFonts w:ascii="Helvetica" w:hAnsi="Helvetica" w:cs="Helvetica" w:eastAsia="Helvetica"/>
          <w:sz w:val="40"/>
          <w:color w:val="FFFFFF"/>
          <w:b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2026-08-08T14:48:08Z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