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0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09"/>
        <w:gridCol w:w="1281"/>
        <w:gridCol w:w="813"/>
      </w:tblGrid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Profit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12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17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21</w:t>
            </w:r>
          </w:p>
        </w:tc>
      </w:tr>
      <w:t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lineRule="exact" w:line="185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/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Revenue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Profit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42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12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Q2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55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17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Q3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61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21</w:t>
            </w:r>
          </w:p>
        </w:tc>
      </w:tr>
      <w:t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Q4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70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t>26</w:t>
            </w:r>
          </w:p>
        </w:tc>
      </w:tr>
    </w:tbl>
    <w:p>
      <w:pPr>
        <w:spacing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spacing w:lineRule="exact" w:line="370"/>
        <w:jc w:val="center"/>
      </w:pPr>
      <w:r>
        <w:rPr>
          <w:sz w:val="40"/>
          <w:szCs w:val="40"/>
          <w:color w:val="FFFFFF"/>
          <w:b w:val="on"/>
          <w:bCs w:val="on"/>
        </w:rPr>
        <w:t>GC</w:t>
      </w: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2026-09-22T21:42:33Z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