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lineRule="exact" w:line="370"/>
        <w:jc w:val="left"/>
        <w:rPr>
          <w:b w:val="on"/>
          <w:bCs w:val="on"/>
          <w:color w:val="142D50"/>
          <w:sz w:val="40"/>
          <w:szCs w:val="40"/>
        </w:rPr>
      </w:pPr>
      <w:r>
        <w:rPr>
          <w:sz w:val="40"/>
          <w:szCs w:val="40"/>
          <w:color w:val="142D50"/>
          <w:b w:val="on"/>
          <w:bCs w:val="on"/>
        </w:rPr>
        <w:t>GraphCompose → Word, from one document</w:t>
      </w:r>
    </w:p>
    <w:p>
      <w:pPr>
        <w:spacing w:before="274" w:lineRule="exact" w:line="259"/>
        <w:jc w:val="left"/>
        <w:rPr>
          <w:color w:val="000000"/>
          <w:sz w:val="28"/>
          <w:szCs w:val="28"/>
        </w:rPr>
      </w:pPr>
      <w:r>
        <w:rPr>
          <w:sz w:val="28"/>
          <w:szCs w:val="28"/>
          <w:color w:val="000000"/>
        </w:rPr>
        <w:t xml:space="preserve">This file exists twice: a fixed-layout </w:t>
      </w:r>
      <w:r>
        <w:rPr>
          <w:sz w:val="28"/>
          <w:szCs w:val="28"/>
          <w:color w:val="000000"/>
          <w:b w:val="on"/>
          <w:bCs w:val="on"/>
        </w:rPr>
        <w:t>PDF</w:t>
      </w:r>
      <w:r>
        <w:rPr>
          <w:sz w:val="28"/>
          <w:szCs w:val="28"/>
          <w:color w:val="000000"/>
        </w:rPr>
        <w:t xml:space="preserve"> and an editable </w:t>
      </w:r>
      <w:r>
        <w:rPr>
          <w:sz w:val="28"/>
          <w:szCs w:val="28"/>
          <w:color w:val="000000"/>
          <w:b w:val="on"/>
          <w:bCs w:val="on"/>
        </w:rPr>
        <w:t>DOCX</w:t>
      </w:r>
      <w:r>
        <w:rPr>
          <w:sz w:val="28"/>
          <w:szCs w:val="28"/>
          <w:color w:val="000000"/>
        </w:rPr>
        <w:t xml:space="preserve"> exported from the same session. Inline runs — </w:t>
      </w:r>
      <w:r>
        <w:rPr>
          <w:sz w:val="28"/>
          <w:szCs w:val="28"/>
          <w:color w:val="000000"/>
          <w:i w:val="on"/>
          <w:iCs w:val="on"/>
        </w:rPr>
        <w:t xml:space="preserve">italic, </w:t>
      </w:r>
      <w:r>
        <w:rPr>
          <w:sz w:val="28"/>
          <w:szCs w:val="28"/>
          <w:color w:val="C4994C"/>
        </w:rPr>
        <w:t xml:space="preserve">colored, </w:t>
      </w:r>
      <w:r>
        <w:rPr>
          <w:sz w:val="28"/>
          <w:szCs w:val="28"/>
          <w:color w:val="14505F"/>
          <w:b w:val="on"/>
          <w:bCs w:val="on"/>
        </w:rPr>
        <w:t>bold accents</w:t>
      </w:r>
      <w:r>
        <w:rPr>
          <w:sz w:val="28"/>
          <w:szCs w:val="28"/>
          <w:color w:val="000000"/>
        </w:rPr>
        <w:t xml:space="preserve"> — survive in both.</w:t>
      </w:r>
    </w:p>
    <w:p>
      <w:pPr>
        <w:spacing w:before="280" w:lineRule="exact" w:line="241"/>
        <w:jc w:val="left"/>
        <w:rPr>
          <w:b w:val="on"/>
          <w:bCs w:val="on"/>
          <w:color w:val="222632"/>
          <w:sz w:val="26"/>
          <w:szCs w:val="26"/>
        </w:rPr>
      </w:pPr>
      <w:r>
        <w:rPr>
          <w:sz w:val="26"/>
          <w:szCs w:val="26"/>
          <w:color w:val="222632"/>
          <w:b w:val="on"/>
          <w:bCs w:val="on"/>
        </w:rPr>
        <w:t>Lists keep markers and indent</w:t>
      </w:r>
    </w:p>
    <w:p>
      <w:pPr>
        <w:numPr>
          <w:ilvl w:val="0"/>
          <w:numId w:val="1"/>
        </w:numPr>
        <w:spacing w:before="286" w:lineRule="exact" w:line="203"/>
        <w:rPr>
          <w:color w:val="222632"/>
          <w:sz w:val="22"/>
          <w:szCs w:val="22"/>
        </w:rPr>
      </w:pPr>
      <w:r>
        <w:rPr>
          <w:sz w:val="22"/>
          <w:szCs w:val="22"/>
          <w:color w:val="222632"/>
        </w:rPr>
        <w:t>Flat items use the list marker</w:t>
      </w:r>
    </w:p>
    <w:p>
      <w:pPr>
        <w:numPr>
          <w:ilvl w:val="0"/>
          <w:numId w:val="1"/>
        </w:numPr>
        <w:spacing w:lineRule="exact" w:line="203"/>
        <w:rPr>
          <w:color w:val="222632"/>
          <w:sz w:val="22"/>
          <w:szCs w:val="22"/>
        </w:rPr>
      </w:pPr>
      <w:r>
        <w:rPr>
          <w:sz w:val="22"/>
          <w:szCs w:val="22"/>
          <w:color w:val="222632"/>
        </w:rPr>
        <w:t>Word gets one paragraph per item</w:t>
      </w:r>
    </w:p>
    <w:p>
      <w:pPr>
        <w:numPr>
          <w:ilvl w:val="0"/>
          <w:numId w:val="2"/>
        </w:numPr>
        <w:spacing w:before="280" w:lineRule="exact" w:line="203"/>
        <w:rPr>
          <w:color w:val="222632"/>
          <w:sz w:val="22"/>
          <w:szCs w:val="22"/>
        </w:rPr>
      </w:pPr>
      <w:r>
        <w:rPr>
          <w:sz w:val="22"/>
          <w:szCs w:val="22"/>
          <w:color w:val="222632"/>
        </w:rPr>
        <w:t>Nested authoring</w:t>
      </w:r>
    </w:p>
    <w:p>
      <w:pPr>
        <w:numPr>
          <w:ilvl w:val="1"/>
          <w:numId w:val="2"/>
        </w:numPr>
        <w:spacing w:before="40" w:lineRule="exact" w:line="203"/>
        <w:rPr>
          <w:color w:val="222632"/>
          <w:sz w:val="22"/>
          <w:szCs w:val="22"/>
        </w:rPr>
      </w:pPr>
      <w:r>
        <w:rPr>
          <w:sz w:val="22"/>
          <w:szCs w:val="22"/>
          <w:color w:val="222632"/>
        </w:rPr>
        <w:t>Two spaces of indent per depth in Word</w:t>
      </w:r>
    </w:p>
    <w:p>
      <w:pPr>
        <w:numPr>
          <w:ilvl w:val="2"/>
          <w:numId w:val="2"/>
        </w:numPr>
        <w:spacing w:before="40" w:lineRule="exact" w:line="203"/>
        <w:rPr>
          <w:color w:val="222632"/>
          <w:sz w:val="22"/>
          <w:szCs w:val="22"/>
        </w:rPr>
      </w:pPr>
      <w:r>
        <w:rPr>
          <w:sz w:val="22"/>
          <w:szCs w:val="22"/>
          <w:color w:val="222632"/>
        </w:rPr>
        <w:t>Custom markers survive the export</w:t>
      </w:r>
    </w:p>
    <w:p>
      <w:pPr>
        <w:spacing w:before="274" w:lineRule="exact" w:line="241" w:after="286"/>
        <w:jc w:val="left"/>
        <w:rPr>
          <w:b w:val="on"/>
          <w:bCs w:val="on"/>
          <w:color w:val="222632"/>
          <w:sz w:val="26"/>
          <w:szCs w:val="26"/>
        </w:rPr>
      </w:pPr>
      <w:r>
        <w:rPr>
          <w:sz w:val="26"/>
          <w:szCs w:val="26"/>
          <w:color w:val="222632"/>
          <w:b w:val="on"/>
          <w:bCs w:val="on"/>
        </w:rPr>
        <w:t>Tables stay tables, and keep their paint</w:t>
      </w:r>
    </w:p>
    <w:tbl>
      <w:tblPr>
        <w:tblW w:w="3263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1129"/>
        <w:gridCol w:w="1301"/>
        <w:gridCol w:w="833"/>
      </w:tblGrid>
      <w:tr>
        <w:trPr>
          <w:trHeight w:val="259" w:hRule="atLeast"/>
          <w:cantSplit w:val="on"/>
        </w:trPr>
        <w:tc>
          <w:tcPr>
            <w:tcBorders>
              <w:top w:val="single" w:sz="6" w:color="CDD4DB"/>
              <w:left w:val="single" w:sz="6" w:color="CDD4DB"/>
              <w:bottom w:val="single" w:sz="6" w:color="CDD4DB"/>
              <w:right w:val="single" w:sz="6" w:color="CDD4DB"/>
            </w:tcBorders>
            <w:shd w:val="clear" w:fill="E8EEF3"/>
            <w:tcMar>
              <w:top w:type="dxa" w:w="59"/>
              <w:left w:type="dxa" w:w="80"/>
              <w:bottom w:type="dxa" w:w="79"/>
              <w:right w:type="dxa" w:w="80"/>
            </w:tcMar>
            <w:vAlign w:val="center"/>
          </w:tcPr>
          <w:p>
            <w:pPr>
              <w:spacing w:lineRule="exact" w:line="259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  <w:color w:val="000000"/>
              </w:rPr>
              <w:t>Quarter</w:t>
            </w:r>
          </w:p>
        </w:tc>
        <w:tc>
          <w:tcPr>
            <w:tcBorders>
              <w:top w:val="single" w:sz="6" w:color="CDD4DB"/>
              <w:left w:val="single" w:sz="6" w:color="CDD4DB"/>
              <w:bottom w:val="single" w:sz="6" w:color="CDD4DB"/>
              <w:right w:val="single" w:sz="6" w:color="CDD4DB"/>
            </w:tcBorders>
            <w:shd w:val="clear" w:fill="E8EEF3"/>
            <w:tcMar>
              <w:top w:type="dxa" w:w="59"/>
              <w:left w:type="dxa" w:w="80"/>
              <w:bottom w:type="dxa" w:w="79"/>
              <w:right w:type="dxa" w:w="80"/>
            </w:tcMar>
            <w:vAlign w:val="center"/>
          </w:tcPr>
          <w:p>
            <w:pPr>
              <w:spacing w:lineRule="exact" w:line="259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  <w:color w:val="000000"/>
              </w:rPr>
              <w:t>Revenue</w:t>
            </w:r>
          </w:p>
        </w:tc>
        <w:tc>
          <w:tcPr>
            <w:tcBorders>
              <w:top w:val="single" w:sz="6" w:color="CDD4DB"/>
              <w:left w:val="single" w:sz="6" w:color="CDD4DB"/>
              <w:bottom w:val="single" w:sz="6" w:color="CDD4DB"/>
              <w:right w:val="single" w:sz="6" w:color="CDD4DB"/>
            </w:tcBorders>
            <w:shd w:val="clear" w:fill="E8EEF3"/>
            <w:tcMar>
              <w:top w:type="dxa" w:w="59"/>
              <w:left w:type="dxa" w:w="80"/>
              <w:bottom w:type="dxa" w:w="79"/>
              <w:right w:type="dxa" w:w="80"/>
            </w:tcMar>
            <w:vAlign w:val="center"/>
          </w:tcPr>
          <w:p>
            <w:pPr>
              <w:spacing w:lineRule="exact" w:line="259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  <w:color w:val="000000"/>
              </w:rPr>
              <w:t>Profit</w:t>
            </w:r>
          </w:p>
        </w:tc>
      </w:tr>
      <w:tr>
        <w:trPr>
          <w:trHeight w:val="259" w:hRule="atLeast"/>
          <w:cantSplit w:val="on"/>
        </w:trPr>
        <w:tc>
          <w:tcPr>
            <w:tcBorders>
              <w:top w:val="single" w:sz="6" w:color="CDD4DB"/>
              <w:left w:val="single" w:sz="6" w:color="CDD4DB"/>
              <w:bottom w:val="single" w:sz="6" w:color="CDD4DB"/>
              <w:right w:val="single" w:sz="6" w:color="CDD4DB"/>
            </w:tcBorders>
            <w:tcMar>
              <w:top w:type="dxa" w:w="66"/>
              <w:left w:type="dxa" w:w="80"/>
              <w:bottom w:type="dxa" w:w="79"/>
              <w:right w:type="dxa" w:w="80"/>
            </w:tcMar>
            <w:vAlign w:val="center"/>
          </w:tcPr>
          <w:p>
            <w:pPr>
              <w:spacing w:lineRule="exact" w:line="259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  <w:color w:val="000000"/>
              </w:rPr>
              <w:t>Q1</w:t>
            </w:r>
          </w:p>
        </w:tc>
        <w:tc>
          <w:tcPr>
            <w:tcBorders>
              <w:top w:val="single" w:sz="6" w:color="CDD4DB"/>
              <w:left w:val="single" w:sz="6" w:color="CDD4DB"/>
              <w:bottom w:val="single" w:sz="6" w:color="CDD4DB"/>
              <w:right w:val="single" w:sz="6" w:color="CDD4DB"/>
            </w:tcBorders>
            <w:tcMar>
              <w:top w:type="dxa" w:w="66"/>
              <w:left w:type="dxa" w:w="80"/>
              <w:bottom w:type="dxa" w:w="79"/>
              <w:right w:type="dxa" w:w="80"/>
            </w:tcMar>
            <w:vAlign w:val="center"/>
          </w:tcPr>
          <w:p>
            <w:pPr>
              <w:spacing w:lineRule="exact" w:line="259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  <w:color w:val="000000"/>
              </w:rPr>
              <w:t>42</w:t>
            </w:r>
          </w:p>
        </w:tc>
        <w:tc>
          <w:tcPr>
            <w:tcBorders>
              <w:top w:val="single" w:sz="6" w:color="CDD4DB"/>
              <w:left w:val="single" w:sz="6" w:color="CDD4DB"/>
              <w:bottom w:val="single" w:sz="6" w:color="CDD4DB"/>
              <w:right w:val="single" w:sz="6" w:color="CDD4DB"/>
            </w:tcBorders>
            <w:tcMar>
              <w:top w:type="dxa" w:w="66"/>
              <w:left w:type="dxa" w:w="80"/>
              <w:bottom w:type="dxa" w:w="79"/>
              <w:right w:type="dxa" w:w="80"/>
            </w:tcMar>
            <w:vAlign w:val="center"/>
          </w:tcPr>
          <w:p>
            <w:pPr>
              <w:spacing w:lineRule="exact" w:line="259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  <w:color w:val="000000"/>
              </w:rPr>
              <w:t>12</w:t>
            </w:r>
          </w:p>
        </w:tc>
      </w:tr>
      <w:tr>
        <w:trPr>
          <w:trHeight w:val="259" w:hRule="atLeast"/>
          <w:cantSplit w:val="on"/>
        </w:trPr>
        <w:tc>
          <w:tcPr>
            <w:tcBorders>
              <w:top w:val="single" w:sz="6" w:color="CDD4DB"/>
              <w:left w:val="single" w:sz="6" w:color="CDD4DB"/>
              <w:bottom w:val="single" w:sz="6" w:color="CDD4DB"/>
              <w:right w:val="single" w:sz="6" w:color="CDD4DB"/>
            </w:tcBorders>
            <w:tcMar>
              <w:top w:type="dxa" w:w="66"/>
              <w:left w:type="dxa" w:w="80"/>
              <w:bottom w:type="dxa" w:w="79"/>
              <w:right w:type="dxa" w:w="80"/>
            </w:tcMar>
            <w:vAlign w:val="center"/>
          </w:tcPr>
          <w:p>
            <w:pPr>
              <w:spacing w:lineRule="exact" w:line="259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  <w:color w:val="000000"/>
              </w:rPr>
              <w:t>Q2</w:t>
            </w:r>
          </w:p>
        </w:tc>
        <w:tc>
          <w:tcPr>
            <w:tcBorders>
              <w:top w:val="single" w:sz="6" w:color="CDD4DB"/>
              <w:left w:val="single" w:sz="6" w:color="CDD4DB"/>
              <w:bottom w:val="single" w:sz="6" w:color="CDD4DB"/>
              <w:right w:val="single" w:sz="6" w:color="CDD4DB"/>
            </w:tcBorders>
            <w:tcMar>
              <w:top w:type="dxa" w:w="66"/>
              <w:left w:type="dxa" w:w="80"/>
              <w:bottom w:type="dxa" w:w="79"/>
              <w:right w:type="dxa" w:w="80"/>
            </w:tcMar>
            <w:vAlign w:val="center"/>
          </w:tcPr>
          <w:p>
            <w:pPr>
              <w:spacing w:lineRule="exact" w:line="259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  <w:color w:val="000000"/>
              </w:rPr>
              <w:t>55</w:t>
            </w:r>
          </w:p>
        </w:tc>
        <w:tc>
          <w:tcPr>
            <w:tcBorders>
              <w:top w:val="single" w:sz="6" w:color="CDD4DB"/>
              <w:left w:val="single" w:sz="6" w:color="CDD4DB"/>
              <w:bottom w:val="single" w:sz="6" w:color="CDD4DB"/>
              <w:right w:val="single" w:sz="6" w:color="CDD4DB"/>
            </w:tcBorders>
            <w:tcMar>
              <w:top w:type="dxa" w:w="66"/>
              <w:left w:type="dxa" w:w="80"/>
              <w:bottom w:type="dxa" w:w="79"/>
              <w:right w:type="dxa" w:w="80"/>
            </w:tcMar>
            <w:vAlign w:val="center"/>
          </w:tcPr>
          <w:p>
            <w:pPr>
              <w:spacing w:lineRule="exact" w:line="259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  <w:color w:val="000000"/>
              </w:rPr>
              <w:t>17</w:t>
            </w:r>
          </w:p>
        </w:tc>
      </w:tr>
      <w:tr>
        <w:trPr>
          <w:trHeight w:val="259" w:hRule="atLeast"/>
          <w:cantSplit w:val="on"/>
        </w:trPr>
        <w:tc>
          <w:tcPr>
            <w:tcBorders>
              <w:top w:val="single" w:sz="6" w:color="CDD4DB"/>
              <w:left w:val="single" w:sz="6" w:color="CDD4DB"/>
              <w:bottom w:val="single" w:sz="6" w:color="CDD4DB"/>
              <w:right w:val="single" w:sz="6" w:color="CDD4DB"/>
            </w:tcBorders>
            <w:tcMar>
              <w:top w:type="dxa" w:w="66"/>
              <w:left w:type="dxa" w:w="80"/>
              <w:bottom w:type="dxa" w:w="79"/>
              <w:right w:type="dxa" w:w="80"/>
            </w:tcMar>
            <w:vAlign w:val="center"/>
          </w:tcPr>
          <w:p>
            <w:pPr>
              <w:spacing w:lineRule="exact" w:line="259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  <w:color w:val="000000"/>
              </w:rPr>
              <w:t>Q3</w:t>
            </w:r>
          </w:p>
        </w:tc>
        <w:tc>
          <w:tcPr>
            <w:tcBorders>
              <w:top w:val="single" w:sz="6" w:color="CDD4DB"/>
              <w:left w:val="single" w:sz="6" w:color="CDD4DB"/>
              <w:bottom w:val="single" w:sz="6" w:color="CDD4DB"/>
              <w:right w:val="single" w:sz="6" w:color="CDD4DB"/>
            </w:tcBorders>
            <w:tcMar>
              <w:top w:type="dxa" w:w="66"/>
              <w:left w:type="dxa" w:w="80"/>
              <w:bottom w:type="dxa" w:w="79"/>
              <w:right w:type="dxa" w:w="80"/>
            </w:tcMar>
            <w:vAlign w:val="center"/>
          </w:tcPr>
          <w:p>
            <w:pPr>
              <w:spacing w:lineRule="exact" w:line="259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  <w:color w:val="000000"/>
              </w:rPr>
              <w:t>61</w:t>
            </w:r>
          </w:p>
        </w:tc>
        <w:tc>
          <w:tcPr>
            <w:tcBorders>
              <w:top w:val="single" w:sz="6" w:color="CDD4DB"/>
              <w:left w:val="single" w:sz="6" w:color="CDD4DB"/>
              <w:bottom w:val="single" w:sz="6" w:color="CDD4DB"/>
              <w:right w:val="single" w:sz="6" w:color="CDD4DB"/>
            </w:tcBorders>
            <w:tcMar>
              <w:top w:type="dxa" w:w="66"/>
              <w:left w:type="dxa" w:w="80"/>
              <w:bottom w:type="dxa" w:w="79"/>
              <w:right w:type="dxa" w:w="80"/>
            </w:tcMar>
            <w:vAlign w:val="center"/>
          </w:tcPr>
          <w:p>
            <w:pPr>
              <w:spacing w:lineRule="exact" w:line="259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  <w:color w:val="000000"/>
              </w:rPr>
              <w:t>21</w:t>
            </w:r>
          </w:p>
        </w:tc>
      </w:tr>
      <w:tr>
        <w:trPr>
          <w:trHeight w:val="259" w:hRule="atLeast"/>
          <w:cantSplit w:val="on"/>
        </w:trPr>
        <w:tc>
          <w:tcPr>
            <w:tcBorders>
              <w:top w:val="single" w:sz="6" w:color="CDD4DB"/>
              <w:left w:val="single" w:sz="6" w:color="CDD4DB"/>
              <w:bottom w:val="single" w:sz="6" w:color="CDD4DB"/>
              <w:right w:val="single" w:sz="6" w:color="CDD4DB"/>
            </w:tcBorders>
            <w:tcMar>
              <w:top w:type="dxa" w:w="66"/>
              <w:left w:type="dxa" w:w="80"/>
              <w:bottom w:type="dxa" w:w="71"/>
              <w:right w:type="dxa" w:w="80"/>
            </w:tcMar>
            <w:vAlign w:val="center"/>
          </w:tcPr>
          <w:p>
            <w:pPr>
              <w:spacing w:lineRule="exact" w:line="259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  <w:color w:val="000000"/>
              </w:rPr>
              <w:t>Q4</w:t>
            </w:r>
          </w:p>
        </w:tc>
        <w:tc>
          <w:tcPr>
            <w:tcBorders>
              <w:top w:val="single" w:sz="6" w:color="CDD4DB"/>
              <w:left w:val="single" w:sz="6" w:color="CDD4DB"/>
              <w:bottom w:val="single" w:sz="6" w:color="CDD4DB"/>
              <w:right w:val="single" w:sz="6" w:color="CDD4DB"/>
            </w:tcBorders>
            <w:tcMar>
              <w:top w:type="dxa" w:w="66"/>
              <w:left w:type="dxa" w:w="80"/>
              <w:bottom w:type="dxa" w:w="71"/>
              <w:right w:type="dxa" w:w="80"/>
            </w:tcMar>
            <w:vAlign w:val="center"/>
          </w:tcPr>
          <w:p>
            <w:pPr>
              <w:spacing w:lineRule="exact" w:line="259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  <w:color w:val="000000"/>
              </w:rPr>
              <w:t>70</w:t>
            </w:r>
          </w:p>
        </w:tc>
        <w:tc>
          <w:tcPr>
            <w:tcBorders>
              <w:top w:val="single" w:sz="6" w:color="CDD4DB"/>
              <w:left w:val="single" w:sz="6" w:color="CDD4DB"/>
              <w:bottom w:val="single" w:sz="6" w:color="CDD4DB"/>
              <w:right w:val="single" w:sz="6" w:color="CDD4DB"/>
            </w:tcBorders>
            <w:tcMar>
              <w:top w:type="dxa" w:w="66"/>
              <w:left w:type="dxa" w:w="80"/>
              <w:bottom w:type="dxa" w:w="71"/>
              <w:right w:type="dxa" w:w="80"/>
            </w:tcMar>
            <w:vAlign w:val="center"/>
          </w:tcPr>
          <w:p>
            <w:pPr>
              <w:spacing w:lineRule="exact" w:line="259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  <w:color w:val="000000"/>
              </w:rPr>
              <w:t>26</w:t>
            </w:r>
          </w:p>
        </w:tc>
      </w:tr>
    </w:tbl>
    <w:p>
      <w:pPr>
        <w:spacing w:before="274" w:lineRule="exact" w:line="241" w:after="286"/>
        <w:jc w:val="left"/>
        <w:rPr>
          <w:b w:val="on"/>
          <w:bCs w:val="on"/>
          <w:color w:val="222632"/>
          <w:sz w:val="26"/>
          <w:szCs w:val="26"/>
        </w:rPr>
      </w:pPr>
      <w:r>
        <w:rPr>
          <w:sz w:val="26"/>
          <w:szCs w:val="26"/>
          <w:color w:val="222632"/>
          <w:b w:val="on"/>
          <w:bCs w:val="on"/>
        </w:rPr>
        <w:t>Side-by-side rows become one-row tables</w:t>
      </w:r>
    </w:p>
    <w:tbl>
      <w:tblPr>
        <w:tblW w:w="998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5130"/>
        <w:gridCol w:w="4850"/>
      </w:tblGrid>
      <w:tr>
        <w:trPr>
          <w:cantSplit w:val="on"/>
        </w:trPr>
        <w:tc>
          <w:tcPr>
            <w:tcW w:type="dxa" w:w="5130"/>
            <w:tcMar>
              <w:left w:type="dxa" w:w="0"/>
              <w:right w:type="dxa" w:w="280"/>
            </w:tcMar>
          </w:tcPr>
          <w:p>
            <w:pPr>
              <w:spacing w:lineRule="exact" w:line="203"/>
              <w:jc w:val="left"/>
              <w:rPr>
                <w:color w:val="222632"/>
                <w:sz w:val="22"/>
                <w:szCs w:val="22"/>
              </w:rPr>
            </w:pPr>
            <w:r>
              <w:rPr>
                <w:sz w:val="22"/>
                <w:szCs w:val="22"/>
                <w:color w:val="222632"/>
              </w:rPr>
              <w:t>Left cell — editors keep the columns.</w:t>
            </w:r>
          </w:p>
        </w:tc>
        <w:tc>
          <w:tcPr>
            <w:tcW w:type="dxa" w:w="4850"/>
            <w:tcMar>
              <w:left w:type="dxa" w:w="0"/>
              <w:right w:type="dxa" w:w="0"/>
            </w:tcMar>
          </w:tcPr>
          <w:p>
            <w:pPr>
              <w:spacing w:lineRule="exact" w:line="203"/>
              <w:jc w:val="left"/>
              <w:rPr>
                <w:color w:val="222632"/>
                <w:sz w:val="22"/>
                <w:szCs w:val="22"/>
              </w:rPr>
            </w:pPr>
            <w:r>
              <w:rPr>
                <w:sz w:val="22"/>
                <w:szCs w:val="22"/>
                <w:color w:val="222632"/>
              </w:rPr>
              <w:t>Right cell — content stays editable.</w:t>
            </w:r>
          </w:p>
        </w:tc>
      </w:tr>
    </w:tbl>
    <w:p>
      <w:pPr>
        <w:spacing w:before="274" w:lineRule="exact" w:line="241"/>
        <w:jc w:val="left"/>
        <w:rPr>
          <w:b w:val="on"/>
          <w:bCs w:val="on"/>
          <w:color w:val="222632"/>
          <w:sz w:val="26"/>
          <w:szCs w:val="26"/>
        </w:rPr>
      </w:pPr>
      <w:r>
        <w:rPr>
          <w:sz w:val="26"/>
          <w:szCs w:val="26"/>
          <w:color w:val="222632"/>
          <w:b w:val="on"/>
          <w:bCs w:val="on"/>
        </w:rPr>
        <w:t>Images embed at their declared size</w:t>
      </w:r>
    </w:p>
    <w:p>
      <w:pPr>
        <w:spacing w:before="286"/>
      </w:pPr>
      <w:r>
        <w:drawing>
          <wp:inline distT="0" distR="0" distB="0" distL="0">
            <wp:extent cx="2286000" cy="1270000"/>
            <wp:docPr id="0" name="Drawing 0" descr="imag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mage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74" w:lineRule="exact" w:line="241"/>
        <w:jc w:val="left"/>
        <w:rPr>
          <w:b w:val="on"/>
          <w:bCs w:val="on"/>
          <w:color w:val="222632"/>
          <w:sz w:val="26"/>
          <w:szCs w:val="26"/>
        </w:rPr>
      </w:pPr>
      <w:r>
        <w:drawing xmlns:a="http://schemas.openxmlformats.org/drawingml/2006/main" xmlns:wps="http://schemas.microsoft.com/office/word/2010/wordprocessingShape">
          <wp:anchor distT="0" distB="0" distL="0" distR="0" simplePos="0" relativeHeight="251659264" behindDoc="0" locked="0" layoutInCell="0" allowOverlap="1">
            <wp:simplePos x="0" y="0"/>
            <wp:positionH relativeFrom="page">
              <wp:posOffset>609600</wp:posOffset>
            </wp:positionH>
            <wp:positionV relativeFrom="page">
              <wp:posOffset>6219666</wp:posOffset>
            </wp:positionV>
            <wp:extent cx="914400" cy="914400"/>
            <wp:effectExtent l="0" t="0" r="0" b="0"/>
            <wp:wrapNone/>
            <wp:docPr id="100000" name="Drawing 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914400"/>
                    </a:xfrm>
                    <a:prstGeom prst="ellipse">
                      <a:avLst/>
                    </a:prstGeom>
                    <a:solidFill>
                      <a:srgbClr val="14505F"/>
                    </a:solidFill>
                    <a:ln w="15240">
                      <a:solidFill>
                        <a:srgbClr val="C4994C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sz w:val="40"/>
                            <w:szCs w:val="40"/>
                            <w:color w:val="FFFFFF"/>
                            <w:b w:val="on"/>
                            <w:bCs w:val="on"/>
                          </w:rPr>
                          <w:t>GC</w:t>
                        </w:r>
                      </w:p>
                    </w:txbxContent>
                  </wps:txbx>
                  <wps:bodyPr rot="0" vert="horz" wrap="square" lIns="-133911" tIns="-133911" rIns="-133911" bIns="-133911" anchor="ctr" anchorCtr="0">
                    <a:noAutofit/>
                  </wps:bodyPr>
                </wps:wsp>
              </a:graphicData>
            </a:graphic>
          </wp:anchor>
        </w:drawing>
      </w:r>
      <w:r>
        <w:rPr>
          <w:sz w:val="26"/>
          <w:szCs w:val="26"/>
          <w:color w:val="222632"/>
          <w:b w:val="on"/>
          <w:bCs w:val="on"/>
        </w:rPr>
        <w:t>Charts fall back to their data</w:t>
      </w:r>
    </w:p>
    <w:p>
      <w:pPr>
        <w:spacing w:before="282" w:lineRule="exact" w:line="185" w:after="284"/>
        <w:jc w:val="left"/>
        <w:rPr>
          <w:i w:val="on"/>
          <w:iCs w:val="on"/>
        </w:rPr>
      </w:pPr>
      <w:r>
        <w:rPr>
          <w:i w:val="on"/>
          <w:iCs w:val="on"/>
        </w:rPr>
        <w:t>The PDF renders the vector chart; Word has no layout pass, so the same node exports as a categories-by-series table.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tcMar>
              <w:top w:type="dxa" w:w="6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  <w:color w:val="000000"/>
              </w:rPr>
              <w:t/>
            </w:r>
          </w:p>
        </w:tc>
        <w:tc>
          <w:tcP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tcMar>
              <w:top w:type="dxa" w:w="6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  <w:color w:val="000000"/>
              </w:rPr>
              <w:t>Revenue</w:t>
            </w:r>
          </w:p>
        </w:tc>
        <w:tc>
          <w:tcP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tcMar>
              <w:top w:type="dxa" w:w="6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  <w:color w:val="000000"/>
              </w:rPr>
              <w:t>Profit</w:t>
            </w:r>
          </w:p>
        </w:tc>
      </w:tr>
      <w:tr>
        <w:tc>
          <w:tcP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  <w:color w:val="000000"/>
              </w:rPr>
              <w:t>Q1</w:t>
            </w:r>
          </w:p>
        </w:tc>
        <w:tc>
          <w:tcP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  <w:color w:val="000000"/>
              </w:rPr>
              <w:t>42</w:t>
            </w:r>
          </w:p>
        </w:tc>
        <w:tc>
          <w:tcP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  <w:color w:val="000000"/>
              </w:rPr>
              <w:t>12</w:t>
            </w:r>
          </w:p>
        </w:tc>
      </w:tr>
      <w:tr>
        <w:tc>
          <w:tcP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  <w:color w:val="000000"/>
              </w:rPr>
              <w:t>Q2</w:t>
            </w:r>
          </w:p>
        </w:tc>
        <w:tc>
          <w:tcP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  <w:color w:val="000000"/>
              </w:rPr>
              <w:t>55</w:t>
            </w:r>
          </w:p>
        </w:tc>
        <w:tc>
          <w:tcP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  <w:color w:val="000000"/>
              </w:rPr>
              <w:t>17</w:t>
            </w:r>
          </w:p>
        </w:tc>
      </w:tr>
      <w:tr>
        <w:tc>
          <w:tcP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  <w:color w:val="000000"/>
              </w:rPr>
              <w:t>Q3</w:t>
            </w:r>
          </w:p>
        </w:tc>
        <w:tc>
          <w:tcP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  <w:color w:val="000000"/>
              </w:rPr>
              <w:t>61</w:t>
            </w:r>
          </w:p>
        </w:tc>
        <w:tc>
          <w:tcP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  <w:color w:val="000000"/>
              </w:rPr>
              <w:t>21</w:t>
            </w:r>
          </w:p>
        </w:tc>
      </w:tr>
      <w:tr>
        <w:tc>
          <w:tcP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tcMar>
              <w:top w:type="dxa" w:w="7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  <w:color w:val="000000"/>
              </w:rPr>
              <w:t>Q4</w:t>
            </w:r>
          </w:p>
        </w:tc>
        <w:tc>
          <w:tcP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tcMar>
              <w:top w:type="dxa" w:w="7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  <w:color w:val="000000"/>
              </w:rPr>
              <w:t>70</w:t>
            </w:r>
          </w:p>
        </w:tc>
        <w:tc>
          <w:tcP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tcMar>
              <w:top w:type="dxa" w:w="7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  <w:color w:val="000000"/>
              </w:rPr>
              <w:t>26</w:t>
            </w:r>
          </w:p>
        </w:tc>
      </w:tr>
    </w:tbl>
    <w:p>
      <w:pPr>
        <w:spacing w:before="274" w:lineRule="exact" w:line="241"/>
        <w:jc w:val="left"/>
        <w:rPr>
          <w:b w:val="on"/>
          <w:bCs w:val="on"/>
          <w:color w:val="222632"/>
          <w:sz w:val="26"/>
          <w:szCs w:val="26"/>
        </w:rPr>
      </w:pPr>
      <w:r>
        <w:rPr>
          <w:sz w:val="26"/>
          <w:szCs w:val="26"/>
          <w:color w:val="222632"/>
          <w:b w:val="on"/>
          <w:bCs w:val="on"/>
        </w:rPr>
        <w:t>Geometry stays PDF-only by design</w:t>
      </w:r>
    </w:p>
    <w:p>
      <w:pPr>
        <w:spacing w:before="282" w:lineRule="exact" w:line="185"/>
        <w:jc w:val="left"/>
        <w:rPr>
          <w:i w:val="on"/>
          <w:iCs w:val="on"/>
        </w:rPr>
      </w:pPr>
      <w:r>
        <w:rPr>
          <w:i w:val="on"/>
          <w:iCs w:val="on"/>
        </w:rPr>
        <w:t>The divider and the badge below render in the PDF; the semantic export skips pure geometry and writes the badge's text inline instead.</w:t>
      </w:r>
    </w:p>
    <w:p>
      <w:pPr>
        <w:pBdr>
          <w:bottom w:val="single" w:sz="16" w:color="C4994C" w:space="0"/>
        </w:pBdr>
        <w:spacing w:before="284" w:lineRule="exact" w:line="2"/>
        <w:ind w:left="0" w:right="1580"/>
      </w:pPr>
    </w:p>
    <w:sectPr>
      <w:pgSz w:w="11900" w:h="16840" w:orient="portrait"/>
      <w:pgMar w:top="960" w:bottom="960" w:left="960" w:right="96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suff w:val="space"/>
      <w:lvlText w:val="-"/>
      <w:lvlJc w:val="left"/>
      <w:pPr>
        <w:ind w:left="183" w:hanging="183"/>
      </w:pPr>
      <w:rPr>
        <w:rFonts w:ascii="Helvetica" w:hAnsi="Helvetica" w:cs="Helvetica" w:eastAsia="Helvetica"/>
        <w:sz w:val="22"/>
        <w:szCs w:val="22"/>
        <w:color w:val="222632"/>
      </w:rPr>
    </w:lvl>
  </w:abstractNum>
  <w:abstractNum w:abstractNumId="1">
    <w:lvl w:ilvl="0">
      <w:start w:val="1"/>
      <w:numFmt w:val="bullet"/>
      <w:lvlText w:val="•"/>
      <w:lvlJc w:val="left"/>
      <w:pPr>
        <w:ind w:left="180" w:hanging="180"/>
      </w:pPr>
    </w:lvl>
    <w:lvl w:ilvl="1">
      <w:start w:val="1"/>
      <w:numFmt w:val="bullet"/>
      <w:lvlText w:val="◦"/>
      <w:lvlJc w:val="left"/>
      <w:pPr>
        <w:ind w:left="300" w:hanging="180"/>
      </w:pPr>
    </w:lvl>
    <w:lvl w:ilvl="2">
      <w:start w:val="1"/>
      <w:numFmt w:val="bullet"/>
      <w:lvlText w:val="▪"/>
      <w:lvlJc w:val="left"/>
      <w:pPr>
        <w:ind w:left="4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Helvetica" w:hAnsi="Helvetica" w:cs="Helvetica" w:eastAsia="Helvetica"/>
        <w:sz w:val="20"/>
        <w:szCs w:val="20"/>
        <w:color w:val="666A76"/>
      </w:rPr>
    </w:rPrDefault>
    <w:pPrDefault>
      <w:pPr>
        <w:spacing w:after="0" w:line="240" w:lineRule="auto"/>
      </w:pPr>
    </w:pPrDefault>
  </w:docDefaults>
  <w:style w:type="paragraph" w:styleId="Normal" w:default="true">
    <w:name w:val="Normal"/>
    <w:rPr>
      <w:rFonts w:ascii="Helvetica" w:hAnsi="Helvetica" w:cs="Helvetica" w:eastAsia="Helvetica"/>
      <w:sz w:val="20"/>
      <w:szCs w:val="20"/>
      <w:color w:val="666A76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numbering.xml" Type="http://schemas.openxmlformats.org/officeDocument/2006/relationships/numbering"/><Relationship Id="rId4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2026-10-11T11:50:57Z</dcterms:created>
  <dc:creator>GraphCompose</dc:creator>
  <cp:keywords>graphcompose, docx, semantic export</cp:keywords>
  <dc:subject>Every node the semantic DOCX backend maps, falls back on, or skips</dc:subject>
  <dc:title>GraphCompose Word export companion</dc:title>
</cp:coreProperties>
</file>