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left"/>
      </w:pPr>
      <w:r>
        <w:rPr>
          <w:rFonts w:ascii="Helvetica" w:hAnsi="Helvetica" w:cs="Helvetica" w:eastAsia="Helvetica"/>
          <w:sz w:val="40"/>
          <w:szCs w:val="40"/>
          <w:color w:val="142D50"/>
          <w:b w:val="on"/>
          <w:bCs/>
        </w:rPr>
        <w:t>GraphCompose → Word, from one document</w:t>
      </w:r>
    </w:p>
    <w:p>
      <w:pPr>
        <w:jc w:val="left"/>
      </w:pP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This file exists twice: a fixed-layout </w:t>
      </w:r>
      <w:r>
        <w:rPr>
          <w:rFonts w:ascii="Helvetica" w:hAnsi="Helvetica" w:cs="Helvetica" w:eastAsia="Helvetica"/>
          <w:sz w:val="28"/>
          <w:szCs w:val="28"/>
          <w:color w:val="000000"/>
          <w:b w:val="on"/>
          <w:bCs/>
        </w:rPr>
        <w:t>PDF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and an editable </w:t>
      </w:r>
      <w:r>
        <w:rPr>
          <w:rFonts w:ascii="Helvetica" w:hAnsi="Helvetica" w:cs="Helvetica" w:eastAsia="Helvetica"/>
          <w:sz w:val="28"/>
          <w:szCs w:val="28"/>
          <w:color w:val="000000"/>
          <w:b w:val="on"/>
          <w:bCs/>
        </w:rPr>
        <w:t>DOCX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exported from the same session. Inline runs — </w:t>
      </w:r>
      <w:r>
        <w:rPr>
          <w:rFonts w:ascii="Helvetica" w:hAnsi="Helvetica" w:cs="Helvetica" w:eastAsia="Helvetica"/>
          <w:sz w:val="28"/>
          <w:szCs w:val="28"/>
          <w:color w:val="000000"/>
          <w:i w:val="on"/>
          <w:iCs/>
        </w:rPr>
        <w:t xml:space="preserve">italic, </w:t>
      </w:r>
      <w:r>
        <w:rPr>
          <w:rFonts w:ascii="Helvetica" w:hAnsi="Helvetica" w:cs="Helvetica" w:eastAsia="Helvetica"/>
          <w:sz w:val="28"/>
          <w:szCs w:val="28"/>
          <w:color w:val="C4994C"/>
        </w:rPr>
        <w:t xml:space="preserve">colored, </w:t>
      </w:r>
      <w:r>
        <w:rPr>
          <w:rFonts w:ascii="Helvetica" w:hAnsi="Helvetica" w:cs="Helvetica" w:eastAsia="Helvetica"/>
          <w:sz w:val="28"/>
          <w:szCs w:val="28"/>
          <w:color w:val="14505F"/>
          <w:b w:val="on"/>
          <w:bCs/>
        </w:rPr>
        <w:t>bold accents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— survive in both.</w:t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/>
        </w:rPr>
        <w:t>Lists keep markers and indent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- Flat items use the list marker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- Word gets one paragraph per item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• Nested authoring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 xml:space="preserve">  ◦ Two spaces of indent per depth in Word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 xml:space="preserve">    ▪ Custom markers survive the export</w:t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/>
        </w:rPr>
        <w:t>Tables stay tables, and keep their paint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Profit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12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17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21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/>
        </w:rPr>
        <w:t>Side-by-side rows become one-row tables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rFonts w:ascii="Helvetica" w:hAnsi="Helvetica" w:cs="Helvetica" w:eastAsia="Helvetica"/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p>
            <w:r>
              <w:rPr>
                <w:rFonts w:ascii="Helvetica" w:hAnsi="Helvetica" w:cs="Helvetica" w:eastAsia="Helvetica"/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/>
        </w:rPr>
        <w:t>Images embed at their declared size</w:t>
      </w:r>
    </w:p>
    <w:p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/>
        </w:rPr>
        <w:t>Charts fall back to their data</w:t>
      </w:r>
    </w:p>
    <w:p>
      <w:pPr>
        <w:jc w:val="left"/>
      </w:pPr>
      <w:r>
        <w:rPr>
          <w:rFonts w:ascii="Helvetica" w:hAnsi="Helvetica" w:cs="Helvetica" w:eastAsia="Helvetica"/>
          <w:sz w:val="20"/>
          <w:szCs w:val="20"/>
          <w:color w:val="666A76"/>
          <w:i w:val="on"/>
          <w:iCs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/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/>
        </w:rPr>
        <w:t>Geometry stays PDF-only by design</w:t>
      </w:r>
    </w:p>
    <w:p>
      <w:pPr>
        <w:jc w:val="left"/>
      </w:pPr>
      <w:r>
        <w:rPr>
          <w:rFonts w:ascii="Helvetica" w:hAnsi="Helvetica" w:cs="Helvetica" w:eastAsia="Helvetica"/>
          <w:sz w:val="20"/>
          <w:szCs w:val="20"/>
          <w:color w:val="666A76"/>
          <w:i w:val="on"/>
          <w:iCs/>
        </w:rPr>
        <w:t>The divider and the badge below render in the PDF; the semantic export skips pure geometry and writes the badge's text inline instead.</w:t>
      </w:r>
    </w:p>
    <w:p>
      <w:pPr>
        <w:jc w:val="center"/>
      </w:pPr>
      <w:r>
        <w:rPr>
          <w:rFonts w:ascii="Helvetica" w:hAnsi="Helvetica" w:cs="Helvetica" w:eastAsia="Helvetica"/>
          <w:sz w:val="40"/>
          <w:szCs w:val="40"/>
          <w:color w:val="FFFFFF"/>
          <w:b w:val="on"/>
          <w:bCs/>
        </w:rPr>
        <w:t>GC</w:t>
      </w:r>
    </w:p>
    <w:sectPr>
      <w:pgSz w:w="11900" w:h="16840" w:orient="portrait"/>
      <w:pgMar w:top="960" w:bottom="960" w:left="960" w:right="96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2026-08-13T06:56:35Z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