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Centralización de informes SQL</w:t>
      </w:r>
    </w:p>
    <w:p>
      <w:pPr>
        <w:pStyle w:val="Subtitle"/>
      </w:pPr>
      <w:r>
        <w:t>Evaluación de la aplicación intranet frente a Excel con conexión directa</w:t>
      </w:r>
    </w:p>
    <w:p>
      <w:r>
        <w:t>Destinatarios previstos: responsables de Operaciones e IT</w:t>
        <w:br/>
        <w:t>Fecha: 3 de octubre de 2026  ·  Versión 1</w:t>
      </w:r>
    </w:p>
    <w:p>
      <w:pPr>
        <w:pStyle w:val="Heading1"/>
      </w:pPr>
      <w:r>
        <w:t>Propuesta y decisión solicitada</w:t>
      </w:r>
    </w:p>
    <w:p>
      <w:r>
        <w:t>Propongo realizar un piloto de la aplicación Intranet SQL para centralizar la generación y distribución de informes recurrentes. Excel se mantendría como herramienta de análisis y como formato de entrega para los usuarios que lo necesiten.</w:t>
      </w:r>
    </w:p>
    <w:p>
      <w:r>
        <w:t>El beneficio esperado es disponer de consultas comunes, permisos definidos, ejecuciones programadas y un registro de resultados y errores. Esto permitiría reducir intervenciones manuales y facilitar el mantenimiento del proceso cuando cambie la persona responsable.</w:t>
      </w:r>
    </w:p>
    <w:p>
      <w:r>
        <w:t>Solicito valorar un piloto acotado, con participación de Operaciones e IT, antes de ampliar el uso de la aplicación. La decisión de continuidad se apoyaría en la exactitud de los resultados, el esfuerzo operativo, la fiabilidad y el coste de mantenimiento medidos durante ese piloto.</w:t>
      </w:r>
    </w:p>
    <w:p>
      <w:pPr>
        <w:pStyle w:val="Heading1"/>
      </w:pPr>
      <w:r>
        <w:t>Alcance de la comparación</w:t>
      </w:r>
    </w:p>
    <w:p>
      <w:r>
        <w:t>El informe compara un libro de Excel conectado directamente a la base de datos con la aplicación centralizada propuesta. No evalúa todas las automatizaciones posibles del ecosistema Microsoft ni da por hecho que los libros actuales estén mal gestionados. Si existe una solución corporativa equivalente, debe incluirse en la valoración.</w:t>
      </w:r>
    </w:p>
    <w:p>
      <w:r>
        <w:t>La propuesta contempla Windows 11, Waitress y publicación mediante IIS si se autoriza, con Caddy como alternativa pendiente de aprobación. El acceso a XGA sería mediante una cuenta única de solo lectura. El correo se prepararía para relay SMTP y Microsoft Graph, según la opción que apruebe IT.</w:t>
      </w:r>
    </w:p>
    <w:p>
      <w:r>
        <w:t>Los beneficios descritos son objetivos que deben verificarse en el entorno corporativo. Este informe no acredita ahorros económicos, mejoras de velocidad ni una validación de producción ya realizada.</w:t>
      </w:r>
    </w:p>
    <w:p>
      <w:r>
        <w:br w:type="page"/>
      </w:r>
    </w:p>
    <w:p>
      <w:pPr>
        <w:pStyle w:val="Heading1"/>
      </w:pPr>
      <w:r>
        <w:t>Necesidades operativas y comparación</w:t>
      </w:r>
    </w:p>
    <w:p>
      <w:r>
        <w:t>El proceso debe permitir que distintos usuarios obtengan resultados coherentes al utilizar la misma consulta y los mismos parámetros sobre los mismos datos. También debe facilitar la modificación controlada de consultas, la entrega a destinatarios autorizados y la detección de fallos.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33"/>
        <w:gridCol w:w="4176"/>
      </w:tblGrid>
      <w:tr>
        <w:trPr>
          <w:cantSplit/>
          <w:tblHeader/>
        </w:trPr>
        <w:tc>
          <w:tcPr>
            <w:tcW w:type="dxa" w:w="1627"/>
            <w:vAlign w:val="center"/>
            <w:shd w:fill="203D55"/>
            <w:tcMar>
              <w:top w:w="95" w:type="dxa"/>
              <w:left w:w="95" w:type="dxa"/>
              <w:bottom w:w="95" w:type="dxa"/>
              <w:right w:w="95" w:type="dxa"/>
            </w:tcMar>
          </w:tcPr>
          <w:p>
            <w:pPr>
              <w:spacing w:after="60" w:before="60" w:line="240" w:lineRule="auto"/>
            </w:pPr>
            <w:r>
              <w:rPr>
                <w:b/>
                <w:color w:val="FFFFFF"/>
                <w:sz w:val="20"/>
              </w:rPr>
              <w:t>Aspecto</w:t>
            </w:r>
          </w:p>
        </w:tc>
        <w:tc>
          <w:tcPr>
            <w:tcW w:type="dxa" w:w="4133"/>
            <w:vAlign w:val="center"/>
            <w:shd w:fill="203D55"/>
            <w:tcMar>
              <w:top w:w="95" w:type="dxa"/>
              <w:left w:w="95" w:type="dxa"/>
              <w:bottom w:w="95" w:type="dxa"/>
              <w:right w:w="95" w:type="dxa"/>
            </w:tcMar>
          </w:tcPr>
          <w:p>
            <w:pPr>
              <w:spacing w:after="60" w:before="60" w:line="240" w:lineRule="auto"/>
            </w:pPr>
            <w:r>
              <w:rPr>
                <w:b/>
                <w:color w:val="FFFFFF"/>
                <w:sz w:val="20"/>
              </w:rPr>
              <w:t>Excel con conexión directa</w:t>
            </w:r>
          </w:p>
        </w:tc>
        <w:tc>
          <w:tcPr>
            <w:tcW w:type="dxa" w:w="4176"/>
            <w:vAlign w:val="center"/>
            <w:shd w:fill="203D55"/>
            <w:tcMar>
              <w:top w:w="95" w:type="dxa"/>
              <w:left w:w="95" w:type="dxa"/>
              <w:bottom w:w="95" w:type="dxa"/>
              <w:right w:w="95" w:type="dxa"/>
            </w:tcMar>
          </w:tcPr>
          <w:p>
            <w:pPr>
              <w:spacing w:after="60" w:before="60" w:line="240" w:lineRule="auto"/>
            </w:pPr>
            <w:r>
              <w:rPr>
                <w:b/>
                <w:color w:val="FFFFFF"/>
                <w:sz w:val="20"/>
              </w:rPr>
              <w:t>Aplicación centralizada</w:t>
            </w:r>
          </w:p>
        </w:tc>
      </w:tr>
      <w:tr>
        <w:trPr>
          <w:cantSplit/>
        </w:trPr>
        <w:tc>
          <w:tcPr>
            <w:tcW w:type="dxa" w:w="1627"/>
            <w:vAlign w:val="center"/>
            <w:shd w:fill="F1F4F6"/>
            <w:tcMar>
              <w:top w:w="95" w:type="dxa"/>
              <w:left w:w="95" w:type="dxa"/>
              <w:bottom w:w="95" w:type="dxa"/>
              <w:right w:w="95" w:type="dxa"/>
            </w:tcMar>
          </w:tcPr>
          <w:p>
            <w:pPr>
              <w:spacing w:after="60" w:before="60" w:line="240" w:lineRule="auto"/>
            </w:pPr>
            <w:r>
              <w:rPr>
                <w:b w:val="0"/>
                <w:color w:val="000000"/>
                <w:sz w:val="20"/>
              </w:rPr>
              <w:t>Consultas y cambios</w:t>
            </w:r>
          </w:p>
        </w:tc>
        <w:tc>
          <w:tcPr>
            <w:tcW w:type="dxa" w:w="4133"/>
            <w:vAlign w:val="center"/>
            <w:shd w:fill="F1F4F6"/>
            <w:tcMar>
              <w:top w:w="95" w:type="dxa"/>
              <w:left w:w="95" w:type="dxa"/>
              <w:bottom w:w="95" w:type="dxa"/>
              <w:right w:w="95" w:type="dxa"/>
            </w:tcMar>
          </w:tcPr>
          <w:p>
            <w:pPr>
              <w:spacing w:after="60" w:before="60" w:line="240" w:lineRule="auto"/>
            </w:pPr>
            <w:r>
              <w:rPr>
                <w:b w:val="0"/>
                <w:color w:val="000000"/>
                <w:sz w:val="20"/>
              </w:rPr>
              <w:t>Si hay copias independientes, se debe asegurar que todas incorporen los cambios.</w:t>
            </w:r>
          </w:p>
        </w:tc>
        <w:tc>
          <w:tcPr>
            <w:tcW w:type="dxa" w:w="4176"/>
            <w:vAlign w:val="center"/>
            <w:shd w:fill="F1F4F6"/>
            <w:tcMar>
              <w:top w:w="95" w:type="dxa"/>
              <w:left w:w="95" w:type="dxa"/>
              <w:bottom w:w="95" w:type="dxa"/>
              <w:right w:w="95" w:type="dxa"/>
            </w:tcMar>
          </w:tcPr>
          <w:p>
            <w:pPr>
              <w:spacing w:after="60" w:before="60" w:line="240" w:lineRule="auto"/>
            </w:pPr>
            <w:r>
              <w:rPr>
                <w:b w:val="0"/>
                <w:color w:val="000000"/>
                <w:sz w:val="20"/>
              </w:rPr>
              <w:t>Un punto común de mantenimiento permite publicar la misma definición para todos.</w:t>
            </w:r>
          </w:p>
        </w:tc>
      </w:tr>
      <w:tr>
        <w:trPr>
          <w:cantSplit/>
        </w:trPr>
        <w:tc>
          <w:tcPr>
            <w:tcW w:type="dxa" w:w="1627"/>
            <w:vAlign w:val="center"/>
            <w:shd w:fill="FFFFFF"/>
            <w:tcMar>
              <w:top w:w="95" w:type="dxa"/>
              <w:left w:w="95" w:type="dxa"/>
              <w:bottom w:w="95" w:type="dxa"/>
              <w:right w:w="95" w:type="dxa"/>
            </w:tcMar>
          </w:tcPr>
          <w:p>
            <w:pPr>
              <w:spacing w:after="60" w:before="60" w:line="240" w:lineRule="auto"/>
            </w:pPr>
            <w:r>
              <w:rPr>
                <w:b w:val="0"/>
                <w:color w:val="000000"/>
                <w:sz w:val="20"/>
              </w:rPr>
              <w:t>Configuración del puesto</w:t>
            </w:r>
          </w:p>
        </w:tc>
        <w:tc>
          <w:tcPr>
            <w:tcW w:type="dxa" w:w="4133"/>
            <w:vAlign w:val="center"/>
            <w:shd w:fill="FFFFFF"/>
            <w:tcMar>
              <w:top w:w="95" w:type="dxa"/>
              <w:left w:w="95" w:type="dxa"/>
              <w:bottom w:w="95" w:type="dxa"/>
              <w:right w:w="95" w:type="dxa"/>
            </w:tcMar>
          </w:tcPr>
          <w:p>
            <w:pPr>
              <w:spacing w:after="60" w:before="60" w:line="240" w:lineRule="auto"/>
            </w:pPr>
            <w:r>
              <w:rPr>
                <w:b w:val="0"/>
                <w:color w:val="000000"/>
                <w:sz w:val="20"/>
              </w:rPr>
              <w:t>Puede requerir controlador, conexión y acceso a la base de datos en cada puesto.</w:t>
            </w:r>
          </w:p>
        </w:tc>
        <w:tc>
          <w:tcPr>
            <w:tcW w:type="dxa" w:w="4176"/>
            <w:vAlign w:val="center"/>
            <w:shd w:fill="FFFFFF"/>
            <w:tcMar>
              <w:top w:w="95" w:type="dxa"/>
              <w:left w:w="95" w:type="dxa"/>
              <w:bottom w:w="95" w:type="dxa"/>
              <w:right w:w="95" w:type="dxa"/>
            </w:tcMar>
          </w:tcPr>
          <w:p>
            <w:pPr>
              <w:spacing w:after="60" w:before="60" w:line="240" w:lineRule="auto"/>
            </w:pPr>
            <w:r>
              <w:rPr>
                <w:b w:val="0"/>
                <w:color w:val="000000"/>
                <w:sz w:val="20"/>
              </w:rPr>
              <w:t>El acceso de usuario se realiza por navegador; la conexión se configura en el servidor.</w:t>
            </w:r>
          </w:p>
        </w:tc>
      </w:tr>
      <w:tr>
        <w:trPr>
          <w:cantSplit/>
        </w:trPr>
        <w:tc>
          <w:tcPr>
            <w:tcW w:type="dxa" w:w="1627"/>
            <w:vAlign w:val="center"/>
            <w:shd w:fill="F1F4F6"/>
            <w:tcMar>
              <w:top w:w="95" w:type="dxa"/>
              <w:left w:w="95" w:type="dxa"/>
              <w:bottom w:w="95" w:type="dxa"/>
              <w:right w:w="95" w:type="dxa"/>
            </w:tcMar>
          </w:tcPr>
          <w:p>
            <w:pPr>
              <w:spacing w:after="60" w:before="60" w:line="240" w:lineRule="auto"/>
            </w:pPr>
            <w:r>
              <w:rPr>
                <w:b w:val="0"/>
                <w:color w:val="000000"/>
                <w:sz w:val="20"/>
              </w:rPr>
              <w:t>Criterios del informe</w:t>
            </w:r>
          </w:p>
        </w:tc>
        <w:tc>
          <w:tcPr>
            <w:tcW w:type="dxa" w:w="4133"/>
            <w:vAlign w:val="center"/>
            <w:shd w:fill="F1F4F6"/>
            <w:tcMar>
              <w:top w:w="95" w:type="dxa"/>
              <w:left w:w="95" w:type="dxa"/>
              <w:bottom w:w="95" w:type="dxa"/>
              <w:right w:w="95" w:type="dxa"/>
            </w:tcMar>
          </w:tcPr>
          <w:p>
            <w:pPr>
              <w:spacing w:after="60" w:before="60" w:line="240" w:lineRule="auto"/>
            </w:pPr>
            <w:r>
              <w:rPr>
                <w:b w:val="0"/>
                <w:color w:val="000000"/>
                <w:sz w:val="20"/>
              </w:rPr>
              <w:t>Las copias pueden divergir si se modifican consultas o fórmulas.</w:t>
            </w:r>
          </w:p>
        </w:tc>
        <w:tc>
          <w:tcPr>
            <w:tcW w:type="dxa" w:w="4176"/>
            <w:vAlign w:val="center"/>
            <w:shd w:fill="F1F4F6"/>
            <w:tcMar>
              <w:top w:w="95" w:type="dxa"/>
              <w:left w:w="95" w:type="dxa"/>
              <w:bottom w:w="95" w:type="dxa"/>
              <w:right w:w="95" w:type="dxa"/>
            </w:tcMar>
          </w:tcPr>
          <w:p>
            <w:pPr>
              <w:spacing w:after="60" w:before="60" w:line="240" w:lineRule="auto"/>
            </w:pPr>
            <w:r>
              <w:rPr>
                <w:b w:val="0"/>
                <w:color w:val="000000"/>
                <w:sz w:val="20"/>
              </w:rPr>
              <w:t>Consultas y parámetros comunes permiten controlar la extracción.</w:t>
            </w:r>
          </w:p>
        </w:tc>
      </w:tr>
      <w:tr>
        <w:trPr>
          <w:cantSplit/>
        </w:trPr>
        <w:tc>
          <w:tcPr>
            <w:tcW w:type="dxa" w:w="1627"/>
            <w:vAlign w:val="center"/>
            <w:shd w:fill="FFFFFF"/>
            <w:tcMar>
              <w:top w:w="95" w:type="dxa"/>
              <w:left w:w="95" w:type="dxa"/>
              <w:bottom w:w="95" w:type="dxa"/>
              <w:right w:w="95" w:type="dxa"/>
            </w:tcMar>
          </w:tcPr>
          <w:p>
            <w:pPr>
              <w:spacing w:after="60" w:before="60" w:line="240" w:lineRule="auto"/>
            </w:pPr>
            <w:r>
              <w:rPr>
                <w:b w:val="0"/>
                <w:color w:val="000000"/>
                <w:sz w:val="20"/>
              </w:rPr>
              <w:t>Trabajos largos</w:t>
            </w:r>
          </w:p>
        </w:tc>
        <w:tc>
          <w:tcPr>
            <w:tcW w:type="dxa" w:w="4133"/>
            <w:vAlign w:val="center"/>
            <w:shd w:fill="FFFFFF"/>
            <w:tcMar>
              <w:top w:w="95" w:type="dxa"/>
              <w:left w:w="95" w:type="dxa"/>
              <w:bottom w:w="95" w:type="dxa"/>
              <w:right w:w="95" w:type="dxa"/>
            </w:tcMar>
          </w:tcPr>
          <w:p>
            <w:pPr>
              <w:spacing w:after="60" w:before="60" w:line="240" w:lineRule="auto"/>
            </w:pPr>
            <w:r>
              <w:rPr>
                <w:b w:val="0"/>
                <w:color w:val="000000"/>
                <w:sz w:val="20"/>
              </w:rPr>
              <w:t>La experiencia depende de cómo esté configurada la actualización del libro.</w:t>
            </w:r>
          </w:p>
        </w:tc>
        <w:tc>
          <w:tcPr>
            <w:tcW w:type="dxa" w:w="4176"/>
            <w:vAlign w:val="center"/>
            <w:shd w:fill="FFFFFF"/>
            <w:tcMar>
              <w:top w:w="95" w:type="dxa"/>
              <w:left w:w="95" w:type="dxa"/>
              <w:bottom w:w="95" w:type="dxa"/>
              <w:right w:w="95" w:type="dxa"/>
            </w:tcMar>
          </w:tcPr>
          <w:p>
            <w:pPr>
              <w:spacing w:after="60" w:before="60" w:line="240" w:lineRule="auto"/>
            </w:pPr>
            <w:r>
              <w:rPr>
                <w:b w:val="0"/>
                <w:color w:val="000000"/>
                <w:sz w:val="20"/>
              </w:rPr>
              <w:t>Los trabajos pueden continuar en segundo plano y exponer su estado.</w:t>
            </w:r>
          </w:p>
        </w:tc>
      </w:tr>
      <w:tr>
        <w:trPr>
          <w:cantSplit/>
        </w:trPr>
        <w:tc>
          <w:tcPr>
            <w:tcW w:type="dxa" w:w="1627"/>
            <w:vAlign w:val="center"/>
            <w:shd w:fill="F1F4F6"/>
            <w:tcMar>
              <w:top w:w="95" w:type="dxa"/>
              <w:left w:w="95" w:type="dxa"/>
              <w:bottom w:w="95" w:type="dxa"/>
              <w:right w:w="95" w:type="dxa"/>
            </w:tcMar>
          </w:tcPr>
          <w:p>
            <w:pPr>
              <w:spacing w:after="60" w:before="60" w:line="240" w:lineRule="auto"/>
            </w:pPr>
            <w:r>
              <w:rPr>
                <w:b w:val="0"/>
                <w:color w:val="000000"/>
                <w:sz w:val="20"/>
              </w:rPr>
              <w:t>Programación y correo</w:t>
            </w:r>
          </w:p>
        </w:tc>
        <w:tc>
          <w:tcPr>
            <w:tcW w:type="dxa" w:w="4133"/>
            <w:vAlign w:val="center"/>
            <w:shd w:fill="F1F4F6"/>
            <w:tcMar>
              <w:top w:w="95" w:type="dxa"/>
              <w:left w:w="95" w:type="dxa"/>
              <w:bottom w:w="95" w:type="dxa"/>
              <w:right w:w="95" w:type="dxa"/>
            </w:tcMar>
          </w:tcPr>
          <w:p>
            <w:pPr>
              <w:spacing w:after="60" w:before="60" w:line="240" w:lineRule="auto"/>
            </w:pPr>
            <w:r>
              <w:rPr>
                <w:b w:val="0"/>
                <w:color w:val="000000"/>
                <w:sz w:val="20"/>
              </w:rPr>
              <w:t>Requiere un mecanismo adicional de automatización y un responsable.</w:t>
            </w:r>
          </w:p>
        </w:tc>
        <w:tc>
          <w:tcPr>
            <w:tcW w:type="dxa" w:w="4176"/>
            <w:vAlign w:val="center"/>
            <w:shd w:fill="F1F4F6"/>
            <w:tcMar>
              <w:top w:w="95" w:type="dxa"/>
              <w:left w:w="95" w:type="dxa"/>
              <w:bottom w:w="95" w:type="dxa"/>
              <w:right w:w="95" w:type="dxa"/>
            </w:tcMar>
          </w:tcPr>
          <w:p>
            <w:pPr>
              <w:spacing w:after="60" w:before="60" w:line="240" w:lineRule="auto"/>
            </w:pPr>
            <w:r>
              <w:rPr>
                <w:b w:val="0"/>
                <w:color w:val="000000"/>
                <w:sz w:val="20"/>
              </w:rPr>
              <w:t>La propuesta integra horarios de ejecución y distribución por correo.</w:t>
            </w:r>
          </w:p>
        </w:tc>
      </w:tr>
      <w:tr>
        <w:trPr>
          <w:cantSplit/>
        </w:trPr>
        <w:tc>
          <w:tcPr>
            <w:tcW w:type="dxa" w:w="1627"/>
            <w:vAlign w:val="center"/>
            <w:shd w:fill="FFFFFF"/>
            <w:tcMar>
              <w:top w:w="95" w:type="dxa"/>
              <w:left w:w="95" w:type="dxa"/>
              <w:bottom w:w="95" w:type="dxa"/>
              <w:right w:w="95" w:type="dxa"/>
            </w:tcMar>
          </w:tcPr>
          <w:p>
            <w:pPr>
              <w:spacing w:after="60" w:before="60" w:line="240" w:lineRule="auto"/>
            </w:pPr>
            <w:r>
              <w:rPr>
                <w:b w:val="0"/>
                <w:color w:val="000000"/>
                <w:sz w:val="20"/>
              </w:rPr>
              <w:t>Seguimiento</w:t>
            </w:r>
          </w:p>
        </w:tc>
        <w:tc>
          <w:tcPr>
            <w:tcW w:type="dxa" w:w="4133"/>
            <w:vAlign w:val="center"/>
            <w:shd w:fill="FFFFFF"/>
            <w:tcMar>
              <w:top w:w="95" w:type="dxa"/>
              <w:left w:w="95" w:type="dxa"/>
              <w:bottom w:w="95" w:type="dxa"/>
              <w:right w:w="95" w:type="dxa"/>
            </w:tcMar>
          </w:tcPr>
          <w:p>
            <w:pPr>
              <w:spacing w:after="60" w:before="60" w:line="240" w:lineRule="auto"/>
            </w:pPr>
            <w:r>
              <w:rPr>
                <w:b w:val="0"/>
                <w:color w:val="000000"/>
                <w:sz w:val="20"/>
              </w:rPr>
              <w:t>El registro de ejecuciones y errores debe establecerse expresamente.</w:t>
            </w:r>
          </w:p>
        </w:tc>
        <w:tc>
          <w:tcPr>
            <w:tcW w:type="dxa" w:w="4176"/>
            <w:vAlign w:val="center"/>
            <w:shd w:fill="FFFFFF"/>
            <w:tcMar>
              <w:top w:w="95" w:type="dxa"/>
              <w:left w:w="95" w:type="dxa"/>
              <w:bottom w:w="95" w:type="dxa"/>
              <w:right w:w="95" w:type="dxa"/>
            </w:tcMar>
          </w:tcPr>
          <w:p>
            <w:pPr>
              <w:spacing w:after="60" w:before="60" w:line="240" w:lineRule="auto"/>
            </w:pPr>
            <w:r>
              <w:rPr>
                <w:b w:val="0"/>
                <w:color w:val="000000"/>
                <w:sz w:val="20"/>
              </w:rPr>
              <w:t>El proceso central puede registrar trabajos, resultados y errores.</w:t>
            </w:r>
          </w:p>
        </w:tc>
      </w:tr>
      <w:tr>
        <w:trPr>
          <w:cantSplit/>
        </w:trPr>
        <w:tc>
          <w:tcPr>
            <w:tcW w:type="dxa" w:w="1627"/>
            <w:vAlign w:val="center"/>
            <w:shd w:fill="F1F4F6"/>
            <w:tcMar>
              <w:top w:w="95" w:type="dxa"/>
              <w:left w:w="95" w:type="dxa"/>
              <w:bottom w:w="95" w:type="dxa"/>
              <w:right w:w="95" w:type="dxa"/>
            </w:tcMar>
          </w:tcPr>
          <w:p>
            <w:pPr>
              <w:spacing w:after="60" w:before="60" w:line="240" w:lineRule="auto"/>
            </w:pPr>
            <w:r>
              <w:rPr>
                <w:b w:val="0"/>
                <w:color w:val="000000"/>
                <w:sz w:val="20"/>
              </w:rPr>
              <w:t>Análisis libre</w:t>
            </w:r>
          </w:p>
        </w:tc>
        <w:tc>
          <w:tcPr>
            <w:tcW w:type="dxa" w:w="4133"/>
            <w:vAlign w:val="center"/>
            <w:shd w:fill="F1F4F6"/>
            <w:tcMar>
              <w:top w:w="95" w:type="dxa"/>
              <w:left w:w="95" w:type="dxa"/>
              <w:bottom w:w="95" w:type="dxa"/>
              <w:right w:w="95" w:type="dxa"/>
            </w:tcMar>
          </w:tcPr>
          <w:p>
            <w:pPr>
              <w:spacing w:after="60" w:before="60" w:line="240" w:lineRule="auto"/>
            </w:pPr>
            <w:r>
              <w:rPr>
                <w:b w:val="0"/>
                <w:color w:val="000000"/>
                <w:sz w:val="20"/>
              </w:rPr>
              <w:t>Adecuado para explorar datos y realizar cálculos propios.</w:t>
            </w:r>
          </w:p>
        </w:tc>
        <w:tc>
          <w:tcPr>
            <w:tcW w:type="dxa" w:w="4176"/>
            <w:vAlign w:val="center"/>
            <w:shd w:fill="F1F4F6"/>
            <w:tcMar>
              <w:top w:w="95" w:type="dxa"/>
              <w:left w:w="95" w:type="dxa"/>
              <w:bottom w:w="95" w:type="dxa"/>
              <w:right w:w="95" w:type="dxa"/>
            </w:tcMar>
          </w:tcPr>
          <w:p>
            <w:pPr>
              <w:spacing w:after="60" w:before="60" w:line="240" w:lineRule="auto"/>
            </w:pPr>
            <w:r>
              <w:rPr>
                <w:b w:val="0"/>
                <w:color w:val="000000"/>
                <w:sz w:val="20"/>
              </w:rPr>
              <w:t>Orientado a informes definidos, con exportación para análisis posterior en Excel.</w:t>
            </w:r>
          </w:p>
        </w:tc>
      </w:tr>
      <w:tr>
        <w:trPr>
          <w:cantSplit/>
        </w:trPr>
        <w:tc>
          <w:tcPr>
            <w:tcW w:type="dxa" w:w="1627"/>
            <w:vAlign w:val="center"/>
            <w:shd w:fill="FFFFFF"/>
            <w:tcMar>
              <w:top w:w="95" w:type="dxa"/>
              <w:left w:w="95" w:type="dxa"/>
              <w:bottom w:w="95" w:type="dxa"/>
              <w:right w:w="95" w:type="dxa"/>
            </w:tcMar>
          </w:tcPr>
          <w:p>
            <w:pPr>
              <w:spacing w:after="60" w:before="60" w:line="240" w:lineRule="auto"/>
            </w:pPr>
            <w:r>
              <w:rPr>
                <w:b w:val="0"/>
                <w:color w:val="000000"/>
                <w:sz w:val="20"/>
              </w:rPr>
              <w:t>Mantenimiento</w:t>
            </w:r>
          </w:p>
        </w:tc>
        <w:tc>
          <w:tcPr>
            <w:tcW w:type="dxa" w:w="4133"/>
            <w:vAlign w:val="center"/>
            <w:shd w:fill="FFFFFF"/>
            <w:tcMar>
              <w:top w:w="95" w:type="dxa"/>
              <w:left w:w="95" w:type="dxa"/>
              <w:bottom w:w="95" w:type="dxa"/>
              <w:right w:w="95" w:type="dxa"/>
            </w:tcMar>
          </w:tcPr>
          <w:p>
            <w:pPr>
              <w:spacing w:after="60" w:before="60" w:line="240" w:lineRule="auto"/>
            </w:pPr>
            <w:r>
              <w:rPr>
                <w:b w:val="0"/>
                <w:color w:val="000000"/>
                <w:sz w:val="20"/>
              </w:rPr>
              <w:t>Puede resultar sencillo para un libro de uso individual.</w:t>
            </w:r>
          </w:p>
        </w:tc>
        <w:tc>
          <w:tcPr>
            <w:tcW w:type="dxa" w:w="4176"/>
            <w:vAlign w:val="center"/>
            <w:shd w:fill="FFFFFF"/>
            <w:tcMar>
              <w:top w:w="95" w:type="dxa"/>
              <w:left w:w="95" w:type="dxa"/>
              <w:bottom w:w="95" w:type="dxa"/>
              <w:right w:w="95" w:type="dxa"/>
            </w:tcMar>
          </w:tcPr>
          <w:p>
            <w:pPr>
              <w:spacing w:after="60" w:before="60" w:line="240" w:lineRule="auto"/>
            </w:pPr>
            <w:r>
              <w:rPr>
                <w:b w:val="0"/>
                <w:color w:val="000000"/>
                <w:sz w:val="20"/>
              </w:rPr>
              <w:t>Requiere mantener servicios, configuración, dependencias y copias de seguridad.</w:t>
            </w:r>
          </w:p>
        </w:tc>
      </w:tr>
    </w:tbl>
    <w:p>
      <w:pPr>
        <w:spacing w:after="0"/>
      </w:pPr>
    </w:p>
    <w:p>
      <w:pPr>
        <w:pStyle w:val="Heading2"/>
      </w:pPr>
      <w:r>
        <w:t>Cuándo aporta más valor cada opción</w:t>
      </w:r>
    </w:p>
    <w:p>
      <w:r>
        <w:t>La centralización resulta especialmente útil cuando varias personas consumen informes recurrentes, hay horarios de entrega o se necesita conocer el estado de cada ejecución. Un Excel puede seguir siendo suficiente para análisis puntuales, de bajo volumen y con un único responsable, si no se requiere automatización ni seguimiento compartido.</w:t>
      </w:r>
    </w:p>
    <w:p>
      <w:r>
        <w:br w:type="page"/>
      </w:r>
    </w:p>
    <w:p>
      <w:pPr>
        <w:pStyle w:val="Heading1"/>
      </w:pPr>
      <w:r>
        <w:t>Rendimiento y caso OUT01</w:t>
      </w:r>
    </w:p>
    <w:p>
      <w:r>
        <w:t>Cambiar Excel por una aplicación web no acelera por sí mismo una consulta SQL. Si ambos ejecutan la misma consulta contra el mismo servidor, el tiempo de base de datos puede ser similar. OUT01 debe tratarse como un caso de medición y optimización específico.</w:t>
      </w:r>
    </w:p>
    <w:p>
      <w:pPr>
        <w:pStyle w:val="Heading2"/>
      </w:pPr>
      <w:r>
        <w:t>Tres mejoras que deben evaluarse por separado</w:t>
      </w:r>
    </w:p>
    <w:p>
      <w:pPr>
        <w:pStyle w:val="ListBullet"/>
      </w:pPr>
      <w:r>
        <w:t>Optimización SQL. Revisar el trabajo que realiza la consulta y medir el efecto de los cambios. Con acceso de solo lectura, cualquier actuación sobre índices o configuración del servidor requeriría intervención de IT o del administrador de base de datos.</w:t>
      </w:r>
    </w:p>
    <w:p>
      <w:pPr>
        <w:pStyle w:val="ListBullet"/>
      </w:pPr>
      <w:r>
        <w:t>Gestión de ejecuciones. Controlar horarios, concurrencia y solicitudes repetidas puede reducir cargas evitables. La centralización solo aporta este beneficio si se configura y utiliza con ese objetivo.</w:t>
      </w:r>
    </w:p>
    <w:p>
      <w:pPr>
        <w:pStyle w:val="ListBullet"/>
      </w:pPr>
      <w:r>
        <w:t>Experiencia de usuario. Ejecutar un trabajo en segundo plano permite consultar su estado y recoger el resultado después. Evita mantener una petición web esperando, aunque no reduce necesariamente la duración de la consulta.</w:t>
      </w:r>
    </w:p>
    <w:p>
      <w:pPr>
        <w:pStyle w:val="Heading2"/>
      </w:pPr>
      <w:r>
        <w:t>Cómo comparar OUT01 de forma defendible</w:t>
      </w:r>
    </w:p>
    <w:p>
      <w:r>
        <w:t>La comparación debe utilizar el mismo SQL, parámetros y volumen de resultados. Conviene separar el tiempo de consulta del tiempo de generación y entrega del archivo, repetir las mediciones y registrar la carga concurrente y las condiciones de cada prueba.</w:t>
      </w:r>
    </w:p>
    <w:p>
      <w:r>
        <w:t>Si la base de datos cambia entre ejecuciones, una diferencia de resultados puede deberse al momento de extracción. Para validar exactitud, se necesita un conjunto de datos estable o acordar cómo se comprobarán esas variaciones.</w:t>
      </w:r>
    </w:p>
    <w:p>
      <w:r>
        <w:t>El argumento inicial para OUT01 es la capacidad de gestionar y observar mejor una operación costosa. Cualquier porcentaje de mejora se incorporará al informe de resultados del piloto cuando exista evidencia comparable.</w:t>
      </w:r>
    </w:p>
    <w:p>
      <w:pPr>
        <w:pStyle w:val="Heading1"/>
      </w:pPr>
      <w:r>
        <w:t>Beneficios operativos esperados</w:t>
      </w:r>
    </w:p>
    <w:p>
      <w:r>
        <w:t>Mantener una definición común de cada consulta facilita corregirla sin distribuir nuevos libros a todos los usuarios. Programar informes recurrentes puede reducir el tiempo dedicado a lanzar consultas, comprobar archivos y enviarlos manualmente.</w:t>
      </w:r>
    </w:p>
    <w:p>
      <w:r>
        <w:t>El historial de trabajos permite investigar cuándo se ejecutó una consulta, con qué parámetros y cuál fue su resultado. La documentación y los procedimientos de operación facilitan que otra persona mantenga el servicio. Estos beneficios deben contrastarse con casos reales; no se atribuyen incidencias al proceso actual sin haberlas documentado.</w:t>
      </w:r>
    </w:p>
    <w:p>
      <w:r>
        <w:br w:type="page"/>
      </w:r>
    </w:p>
    <w:p>
      <w:pPr>
        <w:pStyle w:val="Heading1"/>
      </w:pPr>
      <w:r>
        <w:t>Seguridad y continuidad del servicio</w:t>
      </w:r>
    </w:p>
    <w:p>
      <w:pPr>
        <w:pStyle w:val="Heading2"/>
      </w:pPr>
      <w:r>
        <w:t>Acceso a XGA y permisos de aplicación</w:t>
      </w:r>
    </w:p>
    <w:p>
      <w:r>
        <w:t>La cuenta prevista para acceder a XGA debe conservar permisos de solo lectura. La limitación de consultas a SELECT y WITH es una medida complementaria; la protección principal frente a modificaciones reside en los permisos efectivos de la base de datos.</w:t>
      </w:r>
    </w:p>
    <w:p>
      <w:r>
        <w:t>La aplicación debe limitar las consultas disponibles según los permisos de cada usuario. Centralizar la conexión permite que los usuarios de la intranet no necesiten configurar acceso directo a XGA para obtener sus informes. Esto no revoca por sí mismo otros accesos que ya existan.</w:t>
      </w:r>
    </w:p>
    <w:p>
      <w:r>
        <w:t>Con una cuenta de servicio compartida, XGA no identifica necesariamente al usuario final que originó cada petición. La aplicación debe registrar quién solicita el trabajo, qué consulta utiliza, sus parámetros y su resultado. También debe revisarse el alcance de los permisos administrativos.</w:t>
      </w:r>
    </w:p>
    <w:p>
      <w:pPr>
        <w:pStyle w:val="Heading2"/>
      </w:pPr>
      <w:r>
        <w:t>Resultados y correo</w:t>
      </w:r>
    </w:p>
    <w:p>
      <w:r>
        <w:t>Los archivos exportados y enviados por email siguen conteniendo información corporativa fuera del control de acceso de la página. Deben definirse los destinatarios autorizados, la conservación de resultados y el tratamiento de archivos demasiado grandes o envíos fallidos. El mecanismo SMTP o Graph debe validarse con IT antes de su uso real.</w:t>
      </w:r>
    </w:p>
    <w:p>
      <w:pPr>
        <w:pStyle w:val="Heading2"/>
      </w:pPr>
      <w:r>
        <w:t>Coste y riesgos de centralización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984"/>
      </w:tblGrid>
      <w:tr>
        <w:trPr>
          <w:cantSplit/>
          <w:tblHeader/>
        </w:trPr>
        <w:tc>
          <w:tcPr>
            <w:tcW w:type="dxa" w:w="2952"/>
            <w:vAlign w:val="center"/>
            <w:shd w:fill="203D55"/>
            <w:tcMar>
              <w:top w:w="95" w:type="dxa"/>
              <w:left w:w="95" w:type="dxa"/>
              <w:bottom w:w="95" w:type="dxa"/>
              <w:right w:w="95" w:type="dxa"/>
            </w:tcMar>
          </w:tcPr>
          <w:p>
            <w:pPr>
              <w:spacing w:after="60" w:before="60" w:line="240" w:lineRule="auto"/>
            </w:pPr>
            <w:r>
              <w:rPr>
                <w:b/>
                <w:color w:val="FFFFFF"/>
                <w:sz w:val="20"/>
              </w:rPr>
              <w:t>Riesgo o coste</w:t>
            </w:r>
          </w:p>
        </w:tc>
        <w:tc>
          <w:tcPr>
            <w:tcW w:type="dxa" w:w="6984"/>
            <w:vAlign w:val="center"/>
            <w:shd w:fill="203D55"/>
            <w:tcMar>
              <w:top w:w="95" w:type="dxa"/>
              <w:left w:w="95" w:type="dxa"/>
              <w:bottom w:w="95" w:type="dxa"/>
              <w:right w:w="95" w:type="dxa"/>
            </w:tcMar>
          </w:tcPr>
          <w:p>
            <w:pPr>
              <w:spacing w:after="60" w:before="60" w:line="240" w:lineRule="auto"/>
            </w:pPr>
            <w:r>
              <w:rPr>
                <w:b/>
                <w:color w:val="FFFFFF"/>
                <w:sz w:val="20"/>
              </w:rPr>
              <w:t>Medida propuesta</w:t>
            </w:r>
          </w:p>
        </w:tc>
      </w:tr>
      <w:tr>
        <w:trPr>
          <w:cantSplit/>
        </w:trPr>
        <w:tc>
          <w:tcPr>
            <w:tcW w:type="dxa" w:w="2952"/>
            <w:vAlign w:val="center"/>
            <w:shd w:fill="F1F4F6"/>
            <w:tcMar>
              <w:top w:w="95" w:type="dxa"/>
              <w:left w:w="95" w:type="dxa"/>
              <w:bottom w:w="95" w:type="dxa"/>
              <w:right w:w="95" w:type="dxa"/>
            </w:tcMar>
          </w:tcPr>
          <w:p>
            <w:pPr>
              <w:spacing w:after="60" w:before="60" w:line="240" w:lineRule="auto"/>
            </w:pPr>
            <w:r>
              <w:rPr>
                <w:b w:val="0"/>
                <w:color w:val="000000"/>
                <w:sz w:val="20"/>
              </w:rPr>
              <w:t>Caída del equipo o del servicio</w:t>
            </w:r>
          </w:p>
        </w:tc>
        <w:tc>
          <w:tcPr>
            <w:tcW w:type="dxa" w:w="6984"/>
            <w:vAlign w:val="center"/>
            <w:shd w:fill="F1F4F6"/>
            <w:tcMar>
              <w:top w:w="95" w:type="dxa"/>
              <w:left w:w="95" w:type="dxa"/>
              <w:bottom w:w="95" w:type="dxa"/>
              <w:right w:w="95" w:type="dxa"/>
            </w:tcMar>
          </w:tcPr>
          <w:p>
            <w:pPr>
              <w:spacing w:after="60" w:before="60" w:line="240" w:lineRule="auto"/>
            </w:pPr>
            <w:r>
              <w:rPr>
                <w:b w:val="0"/>
                <w:color w:val="000000"/>
                <w:sz w:val="20"/>
              </w:rPr>
              <w:t>Mantener el equipo disponible, configurar arranque automático y verificar la recuperación tras un reinicio.</w:t>
            </w:r>
          </w:p>
        </w:tc>
      </w:tr>
      <w:tr>
        <w:trPr>
          <w:cantSplit/>
        </w:trPr>
        <w:tc>
          <w:tcPr>
            <w:tcW w:type="dxa" w:w="2952"/>
            <w:vAlign w:val="center"/>
            <w:shd w:fill="FFFFFF"/>
            <w:tcMar>
              <w:top w:w="95" w:type="dxa"/>
              <w:left w:w="95" w:type="dxa"/>
              <w:bottom w:w="95" w:type="dxa"/>
              <w:right w:w="95" w:type="dxa"/>
            </w:tcMar>
          </w:tcPr>
          <w:p>
            <w:pPr>
              <w:spacing w:after="60" w:before="60" w:line="240" w:lineRule="auto"/>
            </w:pPr>
            <w:r>
              <w:rPr>
                <w:b w:val="0"/>
                <w:color w:val="000000"/>
                <w:sz w:val="20"/>
              </w:rPr>
              <w:t>Acumulación de trabajos o carga en XGA</w:t>
            </w:r>
          </w:p>
        </w:tc>
        <w:tc>
          <w:tcPr>
            <w:tcW w:type="dxa" w:w="6984"/>
            <w:vAlign w:val="center"/>
            <w:shd w:fill="FFFFFF"/>
            <w:tcMar>
              <w:top w:w="95" w:type="dxa"/>
              <w:left w:w="95" w:type="dxa"/>
              <w:bottom w:w="95" w:type="dxa"/>
              <w:right w:w="95" w:type="dxa"/>
            </w:tcMar>
          </w:tcPr>
          <w:p>
            <w:pPr>
              <w:spacing w:after="60" w:before="60" w:line="240" w:lineRule="auto"/>
            </w:pPr>
            <w:r>
              <w:rPr>
                <w:b w:val="0"/>
                <w:color w:val="000000"/>
                <w:sz w:val="20"/>
              </w:rPr>
              <w:t>Acordar límites de concurrencia y horarios; supervisar trabajos largos y colas pendientes.</w:t>
            </w:r>
          </w:p>
        </w:tc>
      </w:tr>
      <w:tr>
        <w:trPr>
          <w:cantSplit/>
        </w:trPr>
        <w:tc>
          <w:tcPr>
            <w:tcW w:type="dxa" w:w="2952"/>
            <w:vAlign w:val="center"/>
            <w:shd w:fill="F1F4F6"/>
            <w:tcMar>
              <w:top w:w="95" w:type="dxa"/>
              <w:left w:w="95" w:type="dxa"/>
              <w:bottom w:w="95" w:type="dxa"/>
              <w:right w:w="95" w:type="dxa"/>
            </w:tcMar>
          </w:tcPr>
          <w:p>
            <w:pPr>
              <w:spacing w:after="60" w:before="60" w:line="240" w:lineRule="auto"/>
            </w:pPr>
            <w:r>
              <w:rPr>
                <w:b w:val="0"/>
                <w:color w:val="000000"/>
                <w:sz w:val="20"/>
              </w:rPr>
              <w:t>Dependencia del desarrollador</w:t>
            </w:r>
          </w:p>
        </w:tc>
        <w:tc>
          <w:tcPr>
            <w:tcW w:type="dxa" w:w="6984"/>
            <w:vAlign w:val="center"/>
            <w:shd w:fill="F1F4F6"/>
            <w:tcMar>
              <w:top w:w="95" w:type="dxa"/>
              <w:left w:w="95" w:type="dxa"/>
              <w:bottom w:w="95" w:type="dxa"/>
              <w:right w:w="95" w:type="dxa"/>
            </w:tcMar>
          </w:tcPr>
          <w:p>
            <w:pPr>
              <w:spacing w:after="60" w:before="60" w:line="240" w:lineRule="auto"/>
            </w:pPr>
            <w:r>
              <w:rPr>
                <w:b w:val="0"/>
                <w:color w:val="000000"/>
                <w:sz w:val="20"/>
              </w:rPr>
              <w:t>Documentar instalación, operación y recuperación; designar un responsable suplente y comprobar el traspaso.</w:t>
            </w:r>
          </w:p>
        </w:tc>
      </w:tr>
      <w:tr>
        <w:trPr>
          <w:cantSplit/>
        </w:trPr>
        <w:tc>
          <w:tcPr>
            <w:tcW w:type="dxa" w:w="2952"/>
            <w:vAlign w:val="center"/>
            <w:shd w:fill="FFFFFF"/>
            <w:tcMar>
              <w:top w:w="95" w:type="dxa"/>
              <w:left w:w="95" w:type="dxa"/>
              <w:bottom w:w="95" w:type="dxa"/>
              <w:right w:w="95" w:type="dxa"/>
            </w:tcMar>
          </w:tcPr>
          <w:p>
            <w:pPr>
              <w:spacing w:after="60" w:before="60" w:line="240" w:lineRule="auto"/>
            </w:pPr>
            <w:r>
              <w:rPr>
                <w:b w:val="0"/>
                <w:color w:val="000000"/>
                <w:sz w:val="20"/>
              </w:rPr>
              <w:t>Pérdida de configuración o resultados</w:t>
            </w:r>
          </w:p>
        </w:tc>
        <w:tc>
          <w:tcPr>
            <w:tcW w:type="dxa" w:w="6984"/>
            <w:vAlign w:val="center"/>
            <w:shd w:fill="FFFFFF"/>
            <w:tcMar>
              <w:top w:w="95" w:type="dxa"/>
              <w:left w:w="95" w:type="dxa"/>
              <w:bottom w:w="95" w:type="dxa"/>
              <w:right w:w="95" w:type="dxa"/>
            </w:tcMar>
          </w:tcPr>
          <w:p>
            <w:pPr>
              <w:spacing w:after="60" w:before="60" w:line="240" w:lineRule="auto"/>
            </w:pPr>
            <w:r>
              <w:rPr>
                <w:b w:val="0"/>
                <w:color w:val="000000"/>
                <w:sz w:val="20"/>
              </w:rPr>
              <w:t>Definir copias, conservación y una prueba de restauración, con acceso restringido a credenciales.</w:t>
            </w:r>
          </w:p>
        </w:tc>
      </w:tr>
      <w:tr>
        <w:trPr>
          <w:cantSplit/>
        </w:trPr>
        <w:tc>
          <w:tcPr>
            <w:tcW w:type="dxa" w:w="2952"/>
            <w:vAlign w:val="center"/>
            <w:shd w:fill="F1F4F6"/>
            <w:tcMar>
              <w:top w:w="95" w:type="dxa"/>
              <w:left w:w="95" w:type="dxa"/>
              <w:bottom w:w="95" w:type="dxa"/>
              <w:right w:w="95" w:type="dxa"/>
            </w:tcMar>
          </w:tcPr>
          <w:p>
            <w:pPr>
              <w:spacing w:after="60" w:before="60" w:line="240" w:lineRule="auto"/>
            </w:pPr>
            <w:r>
              <w:rPr>
                <w:b w:val="0"/>
                <w:color w:val="000000"/>
                <w:sz w:val="20"/>
              </w:rPr>
              <w:t>Actualizaciones y cambios</w:t>
            </w:r>
          </w:p>
        </w:tc>
        <w:tc>
          <w:tcPr>
            <w:tcW w:type="dxa" w:w="6984"/>
            <w:vAlign w:val="center"/>
            <w:shd w:fill="F1F4F6"/>
            <w:tcMar>
              <w:top w:w="95" w:type="dxa"/>
              <w:left w:w="95" w:type="dxa"/>
              <w:bottom w:w="95" w:type="dxa"/>
              <w:right w:w="95" w:type="dxa"/>
            </w:tcMar>
          </w:tcPr>
          <w:p>
            <w:pPr>
              <w:spacing w:after="60" w:before="60" w:line="240" w:lineRule="auto"/>
            </w:pPr>
            <w:r>
              <w:rPr>
                <w:b w:val="0"/>
                <w:color w:val="000000"/>
                <w:sz w:val="20"/>
              </w:rPr>
              <w:t>Reservar tiempo de mantenimiento, validar cambios y disponer de un procedimiento de vuelta atrás.</w:t>
            </w:r>
          </w:p>
        </w:tc>
      </w:tr>
    </w:tbl>
    <w:p>
      <w:pPr>
        <w:spacing w:after="0"/>
      </w:pPr>
    </w:p>
    <w:p>
      <w:r>
        <w:t>La centralización concentra la disponibilidad en un servicio común: una incidencia puede afectar a todos sus usuarios. La aprobación debe incluir los recursos y responsables necesarios para operarlo, además de la aceptación funcional de la aplicación.</w:t>
      </w:r>
    </w:p>
    <w:p>
      <w:r>
        <w:br w:type="page"/>
      </w:r>
    </w:p>
    <w:p>
      <w:pPr>
        <w:pStyle w:val="Heading1"/>
      </w:pPr>
      <w:r>
        <w:t>Piloto propuesto y criterios de decisión</w:t>
      </w:r>
    </w:p>
    <w:p>
      <w:r>
        <w:t>Propongo un piloto con un grupo reducido de usuarios y un conjunto de consultas representativas, incluida OUT01. La duración, los volúmenes y los umbrales de aceptación se acordarán antes de empezar. Durante la validación se mantendrá disponible el procedimiento actual, coordinando las pruebas para evitar carga duplicada innecesaria.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shd w:fill="203D55"/>
            <w:tcMar>
              <w:top w:w="95" w:type="dxa"/>
              <w:left w:w="95" w:type="dxa"/>
              <w:bottom w:w="95" w:type="dxa"/>
              <w:right w:w="95" w:type="dxa"/>
            </w:tcMar>
          </w:tcPr>
          <w:p>
            <w:pPr>
              <w:spacing w:after="60" w:before="60" w:line="240" w:lineRule="auto"/>
            </w:pPr>
            <w:r>
              <w:rPr>
                <w:b/>
                <w:color w:val="FFFFFF"/>
                <w:sz w:val="20"/>
              </w:rPr>
              <w:t>Criterio</w:t>
            </w:r>
          </w:p>
        </w:tc>
        <w:tc>
          <w:tcPr>
            <w:tcW w:type="dxa" w:w="7560"/>
            <w:vAlign w:val="center"/>
            <w:shd w:fill="203D55"/>
            <w:tcMar>
              <w:top w:w="95" w:type="dxa"/>
              <w:left w:w="95" w:type="dxa"/>
              <w:bottom w:w="95" w:type="dxa"/>
              <w:right w:w="95" w:type="dxa"/>
            </w:tcMar>
          </w:tcPr>
          <w:p>
            <w:pPr>
              <w:spacing w:after="60" w:before="60" w:line="240" w:lineRule="auto"/>
            </w:pPr>
            <w:r>
              <w:rPr>
                <w:b/>
                <w:color w:val="FFFFFF"/>
                <w:sz w:val="20"/>
              </w:rPr>
              <w:t>Evidencia que debe recogerse</w:t>
            </w:r>
          </w:p>
        </w:tc>
      </w:tr>
      <w:tr>
        <w:trPr>
          <w:cantSplit/>
        </w:trPr>
        <w:tc>
          <w:tcPr>
            <w:tcW w:type="dxa" w:w="2376"/>
            <w:vAlign w:val="center"/>
            <w:shd w:fill="F1F4F6"/>
            <w:tcMar>
              <w:top w:w="95" w:type="dxa"/>
              <w:left w:w="95" w:type="dxa"/>
              <w:bottom w:w="95" w:type="dxa"/>
              <w:right w:w="95" w:type="dxa"/>
            </w:tcMar>
          </w:tcPr>
          <w:p>
            <w:pPr>
              <w:spacing w:after="60" w:before="60" w:line="240" w:lineRule="auto"/>
            </w:pPr>
            <w:r>
              <w:rPr>
                <w:b w:val="0"/>
                <w:color w:val="000000"/>
                <w:sz w:val="20"/>
              </w:rPr>
              <w:t>Exactitud</w:t>
            </w:r>
          </w:p>
        </w:tc>
        <w:tc>
          <w:tcPr>
            <w:tcW w:type="dxa" w:w="7560"/>
            <w:vAlign w:val="center"/>
            <w:shd w:fill="F1F4F6"/>
            <w:tcMar>
              <w:top w:w="95" w:type="dxa"/>
              <w:left w:w="95" w:type="dxa"/>
              <w:bottom w:w="95" w:type="dxa"/>
              <w:right w:w="95" w:type="dxa"/>
            </w:tcMar>
          </w:tcPr>
          <w:p>
            <w:pPr>
              <w:spacing w:after="60" w:before="60" w:line="240" w:lineRule="auto"/>
            </w:pPr>
            <w:r>
              <w:rPr>
                <w:b w:val="0"/>
                <w:color w:val="000000"/>
                <w:sz w:val="20"/>
              </w:rPr>
              <w:t>Comparación de filas, totales y parámetros sobre datos equivalentes; explicación de cualquier diferencia.</w:t>
            </w:r>
          </w:p>
        </w:tc>
      </w:tr>
      <w:tr>
        <w:trPr>
          <w:cantSplit/>
        </w:trPr>
        <w:tc>
          <w:tcPr>
            <w:tcW w:type="dxa" w:w="2376"/>
            <w:vAlign w:val="center"/>
            <w:shd w:fill="FFFFFF"/>
            <w:tcMar>
              <w:top w:w="95" w:type="dxa"/>
              <w:left w:w="95" w:type="dxa"/>
              <w:bottom w:w="95" w:type="dxa"/>
              <w:right w:w="95" w:type="dxa"/>
            </w:tcMar>
          </w:tcPr>
          <w:p>
            <w:pPr>
              <w:spacing w:after="60" w:before="60" w:line="240" w:lineRule="auto"/>
            </w:pPr>
            <w:r>
              <w:rPr>
                <w:b w:val="0"/>
                <w:color w:val="000000"/>
                <w:sz w:val="20"/>
              </w:rPr>
              <w:t>Rendimiento</w:t>
            </w:r>
          </w:p>
        </w:tc>
        <w:tc>
          <w:tcPr>
            <w:tcW w:type="dxa" w:w="7560"/>
            <w:vAlign w:val="center"/>
            <w:shd w:fill="FFFFFF"/>
            <w:tcMar>
              <w:top w:w="95" w:type="dxa"/>
              <w:left w:w="95" w:type="dxa"/>
              <w:bottom w:w="95" w:type="dxa"/>
              <w:right w:w="95" w:type="dxa"/>
            </w:tcMar>
          </w:tcPr>
          <w:p>
            <w:pPr>
              <w:spacing w:after="60" w:before="60" w:line="240" w:lineRule="auto"/>
            </w:pPr>
            <w:r>
              <w:rPr>
                <w:b w:val="0"/>
                <w:color w:val="000000"/>
                <w:sz w:val="20"/>
              </w:rPr>
              <w:t>Tiempo SQL y tiempo total hasta el archivo disponible, con repeticiones y condiciones de prueba registradas.</w:t>
            </w:r>
          </w:p>
        </w:tc>
      </w:tr>
      <w:tr>
        <w:trPr>
          <w:cantSplit/>
        </w:trPr>
        <w:tc>
          <w:tcPr>
            <w:tcW w:type="dxa" w:w="2376"/>
            <w:vAlign w:val="center"/>
            <w:shd w:fill="F1F4F6"/>
            <w:tcMar>
              <w:top w:w="95" w:type="dxa"/>
              <w:left w:w="95" w:type="dxa"/>
              <w:bottom w:w="95" w:type="dxa"/>
              <w:right w:w="95" w:type="dxa"/>
            </w:tcMar>
          </w:tcPr>
          <w:p>
            <w:pPr>
              <w:spacing w:after="60" w:before="60" w:line="240" w:lineRule="auto"/>
            </w:pPr>
            <w:r>
              <w:rPr>
                <w:b w:val="0"/>
                <w:color w:val="000000"/>
                <w:sz w:val="20"/>
              </w:rPr>
              <w:t>Trabajo manual</w:t>
            </w:r>
          </w:p>
        </w:tc>
        <w:tc>
          <w:tcPr>
            <w:tcW w:type="dxa" w:w="7560"/>
            <w:vAlign w:val="center"/>
            <w:shd w:fill="F1F4F6"/>
            <w:tcMar>
              <w:top w:w="95" w:type="dxa"/>
              <w:left w:w="95" w:type="dxa"/>
              <w:bottom w:w="95" w:type="dxa"/>
              <w:right w:w="95" w:type="dxa"/>
            </w:tcMar>
          </w:tcPr>
          <w:p>
            <w:pPr>
              <w:spacing w:after="60" w:before="60" w:line="240" w:lineRule="auto"/>
            </w:pPr>
            <w:r>
              <w:rPr>
                <w:b w:val="0"/>
                <w:color w:val="000000"/>
                <w:sz w:val="20"/>
              </w:rPr>
              <w:t>Minutos de intervención para generar, comprobar y distribuir cada informe con ambos métodos.</w:t>
            </w:r>
          </w:p>
        </w:tc>
      </w:tr>
      <w:tr>
        <w:trPr>
          <w:cantSplit/>
        </w:trPr>
        <w:tc>
          <w:tcPr>
            <w:tcW w:type="dxa" w:w="2376"/>
            <w:vAlign w:val="center"/>
            <w:shd w:fill="FFFFFF"/>
            <w:tcMar>
              <w:top w:w="95" w:type="dxa"/>
              <w:left w:w="95" w:type="dxa"/>
              <w:bottom w:w="95" w:type="dxa"/>
              <w:right w:w="95" w:type="dxa"/>
            </w:tcMar>
          </w:tcPr>
          <w:p>
            <w:pPr>
              <w:spacing w:after="60" w:before="60" w:line="240" w:lineRule="auto"/>
            </w:pPr>
            <w:r>
              <w:rPr>
                <w:b w:val="0"/>
                <w:color w:val="000000"/>
                <w:sz w:val="20"/>
              </w:rPr>
              <w:t>Fiabilidad</w:t>
            </w:r>
          </w:p>
        </w:tc>
        <w:tc>
          <w:tcPr>
            <w:tcW w:type="dxa" w:w="7560"/>
            <w:vAlign w:val="center"/>
            <w:shd w:fill="FFFFFF"/>
            <w:tcMar>
              <w:top w:w="95" w:type="dxa"/>
              <w:left w:w="95" w:type="dxa"/>
              <w:bottom w:w="95" w:type="dxa"/>
              <w:right w:w="95" w:type="dxa"/>
            </w:tcMar>
          </w:tcPr>
          <w:p>
            <w:pPr>
              <w:spacing w:after="60" w:before="60" w:line="240" w:lineRule="auto"/>
            </w:pPr>
            <w:r>
              <w:rPr>
                <w:b w:val="0"/>
                <w:color w:val="000000"/>
                <w:sz w:val="20"/>
              </w:rPr>
              <w:t>Número de trabajos y envíos correctos, fallidos o retrasados, y tiempo necesario para resolver incidencias.</w:t>
            </w:r>
          </w:p>
        </w:tc>
      </w:tr>
      <w:tr>
        <w:trPr>
          <w:cantSplit/>
        </w:trPr>
        <w:tc>
          <w:tcPr>
            <w:tcW w:type="dxa" w:w="2376"/>
            <w:vAlign w:val="center"/>
            <w:shd w:fill="F1F4F6"/>
            <w:tcMar>
              <w:top w:w="95" w:type="dxa"/>
              <w:left w:w="95" w:type="dxa"/>
              <w:bottom w:w="95" w:type="dxa"/>
              <w:right w:w="95" w:type="dxa"/>
            </w:tcMar>
          </w:tcPr>
          <w:p>
            <w:pPr>
              <w:spacing w:after="60" w:before="60" w:line="240" w:lineRule="auto"/>
            </w:pPr>
            <w:r>
              <w:rPr>
                <w:b w:val="0"/>
                <w:color w:val="000000"/>
                <w:sz w:val="20"/>
              </w:rPr>
              <w:t>Permisos</w:t>
            </w:r>
          </w:p>
        </w:tc>
        <w:tc>
          <w:tcPr>
            <w:tcW w:type="dxa" w:w="7560"/>
            <w:vAlign w:val="center"/>
            <w:shd w:fill="F1F4F6"/>
            <w:tcMar>
              <w:top w:w="95" w:type="dxa"/>
              <w:left w:w="95" w:type="dxa"/>
              <w:bottom w:w="95" w:type="dxa"/>
              <w:right w:w="95" w:type="dxa"/>
            </w:tcMar>
          </w:tcPr>
          <w:p>
            <w:pPr>
              <w:spacing w:after="60" w:before="60" w:line="240" w:lineRule="auto"/>
            </w:pPr>
            <w:r>
              <w:rPr>
                <w:b w:val="0"/>
                <w:color w:val="000000"/>
                <w:sz w:val="20"/>
              </w:rPr>
              <w:t>Pruebas con usuarios autorizados y no autorizados para consultar, descargar y administrar.</w:t>
            </w:r>
          </w:p>
        </w:tc>
      </w:tr>
      <w:tr>
        <w:trPr>
          <w:cantSplit/>
        </w:trPr>
        <w:tc>
          <w:tcPr>
            <w:tcW w:type="dxa" w:w="2376"/>
            <w:vAlign w:val="center"/>
            <w:shd w:fill="FFFFFF"/>
            <w:tcMar>
              <w:top w:w="95" w:type="dxa"/>
              <w:left w:w="95" w:type="dxa"/>
              <w:bottom w:w="95" w:type="dxa"/>
              <w:right w:w="95" w:type="dxa"/>
            </w:tcMar>
          </w:tcPr>
          <w:p>
            <w:pPr>
              <w:spacing w:after="60" w:before="60" w:line="240" w:lineRule="auto"/>
            </w:pPr>
            <w:r>
              <w:rPr>
                <w:b w:val="0"/>
                <w:color w:val="000000"/>
                <w:sz w:val="20"/>
              </w:rPr>
              <w:t>Mantenimiento y recuperación</w:t>
            </w:r>
          </w:p>
        </w:tc>
        <w:tc>
          <w:tcPr>
            <w:tcW w:type="dxa" w:w="7560"/>
            <w:vAlign w:val="center"/>
            <w:shd w:fill="FFFFFF"/>
            <w:tcMar>
              <w:top w:w="95" w:type="dxa"/>
              <w:left w:w="95" w:type="dxa"/>
              <w:bottom w:w="95" w:type="dxa"/>
              <w:right w:w="95" w:type="dxa"/>
            </w:tcMar>
          </w:tcPr>
          <w:p>
            <w:pPr>
              <w:spacing w:after="60" w:before="60" w:line="240" w:lineRule="auto"/>
            </w:pPr>
            <w:r>
              <w:rPr>
                <w:b w:val="0"/>
                <w:color w:val="000000"/>
                <w:sz w:val="20"/>
              </w:rPr>
              <w:t>Cambio controlado de una consulta, reinicio del servicio y restauración comprobada de una copia.</w:t>
            </w:r>
          </w:p>
        </w:tc>
      </w:tr>
    </w:tbl>
    <w:p>
      <w:pPr>
        <w:spacing w:after="0"/>
      </w:pPr>
    </w:p>
    <w:p>
      <w:pPr>
        <w:pStyle w:val="Heading2"/>
      </w:pPr>
      <w:r>
        <w:t>Responsabilidades que deben acordarse</w:t>
      </w:r>
    </w:p>
    <w:p>
      <w:r>
        <w:t>Operaciones definiría los informes, destinatarios y horarios, y validaría los resultados. IT confirmaría el equipo, la cuenta de servicio, el acceso de red, la publicación web y el correo. La persona responsable de la aplicación mantendría consultas y configuración, revisaría errores y documentaría los cambios. Estas asignaciones son propuestas pendientes de acuerdo.</w:t>
      </w:r>
    </w:p>
    <w:p>
      <w:pPr>
        <w:pStyle w:val="Heading2"/>
      </w:pPr>
      <w:r>
        <w:t>Evaluación del esfuerzo y del coste</w:t>
      </w:r>
    </w:p>
    <w:p>
      <w:r>
        <w:t>El ahorro operativo se calculará con mediciones: diferencia de minutos de intervención por informe multiplicada por su frecuencia. Debe compararse con el tiempo de despliegue, mantenimiento, soporte y recuperación. El tiempo de espera de una consulta no debe contabilizarse íntegramente como trabajo ahorrado si el usuario puede realizar otras tareas mientras se ejecuta.</w:t>
      </w:r>
    </w:p>
    <w:p>
      <w:pPr>
        <w:pStyle w:val="Heading2"/>
      </w:pPr>
      <w:r>
        <w:t>Decisión al finalizar el piloto</w:t>
      </w:r>
    </w:p>
    <w:p>
      <w:r>
        <w:t>Se propone ampliar el uso si los resultados son correctos, los permisos funcionan, el servicio se recupera de los fallos ensayados y la mejora operativa compensa su mantenimiento. Si no se cumplen estas condiciones, se corregirán los problemas o se mantendrá el método actual para los casos afectados.</w:t>
      </w:r>
    </w:p>
    <w:p>
      <w:r>
        <w:t>La recomendación es centralizar progresivamente los informes recurrentes que se beneficien de automatización y seguimiento, conservando Excel para el análisis. La decisión final debe apoyarse en los resultados del piloto y en la capacidad de mantener el servicio con continuidad.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Informe para valoración interna  ·  3 de octubre de 2026</w:t>
    </w:r>
    <w:r>
      <w:t xml:space="preserve">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INTRANET SQL  ·  PROPUESTA DE CENTRALIZACIÓN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Centralización de informes SQL</dc:title>
  <dc:subject>Evaluación de la aplicación intranet frente a Excel con conexión directa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