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color w:val="000000"/>
        </w:rPr>
        <w:br/>
        <w:br/>
      </w:r>
    </w:p>
    <w:p>
      <w:pPr>
        <w:widowControl/>
        <w:spacing w:after="280"/>
      </w:pPr>
      <w:r>
        <w:rPr>
          <w:rFonts w:ascii="Aptos Display" w:hAnsi="Aptos Display"/>
          <w:b/>
          <w:color w:val="000000"/>
          <w:sz w:val="26"/>
        </w:rPr>
        <w:t>NITEWIDE</w:t>
      </w:r>
    </w:p>
    <w:p>
      <w:pPr>
        <w:pStyle w:val="Title"/>
        <w:spacing w:after="200"/>
        <w:widowControl/>
      </w:pPr>
      <w:r>
        <w:rPr>
          <w:color w:val="000000"/>
        </w:rPr>
        <w:t>Nitewide Technical Whitepaper</w:t>
      </w:r>
    </w:p>
    <w:p>
      <w:pPr>
        <w:widowControl/>
        <w:spacing w:after="300"/>
      </w:pPr>
      <w:r>
        <w:rPr>
          <w:rFonts w:ascii="Aptos" w:hAnsi="Aptos"/>
          <w:color w:val="000000"/>
          <w:sz w:val="32"/>
        </w:rPr>
        <w:t>Nightlife commerce and platform architecture</w:t>
      </w:r>
    </w:p>
    <w:p>
      <w:pPr>
        <w:widowControl/>
      </w:pPr>
      <w:r>
        <w:rPr>
          <w:i w:val="0"/>
          <w:color w:val="000000"/>
          <w:sz w:val="22"/>
        </w:rPr>
        <w:t>For institutional investors and strategic partners</w:t>
      </w:r>
    </w:p>
    <w:p>
      <w:pPr>
        <w:widowControl/>
      </w:pPr>
      <w:r>
        <w:rPr>
          <w:i w:val="0"/>
          <w:color w:val="000000"/>
          <w:sz w:val="20"/>
        </w:rPr>
        <w:t>September 23, 2026  |  Orlando, Florida  |  Updated edition</w:t>
      </w:r>
    </w:p>
    <w:p>
      <w:pPr>
        <w:widowControl/>
      </w:pPr>
      <w:r>
        <w:br/>
      </w:r>
    </w:p>
    <w:p>
      <w:pPr>
        <w:pStyle w:val="Heading2"/>
        <w:widowControl/>
      </w:pPr>
      <w:r>
        <w:rPr>
          <w:color w:val="000000"/>
        </w:rPr>
        <w:t>Executive perspective</w:t>
      </w:r>
    </w:p>
    <w:p>
      <w:pPr>
        <w:widowControl/>
      </w:pPr>
      <w:r>
        <w:rPr>
          <w:i w:val="0"/>
        </w:rPr>
        <w:t>Nitewide connects event discovery and booking with the tools venues and creators use to manage sales, guestlists, referrals and admission. A shared event record links the customer to the person who brought them, preserves the terms of each sale and makes that relationship available for a later booking across authorized venues. We intend to compete through this repeat-booking workflow and lower checkout costs, while preserving venue proceeds and a minimum modeled contribution per paid order.</w:t>
      </w:r>
    </w:p>
    <w:p>
      <w:pPr>
        <w:widowControl/>
      </w:pPr>
      <w:r>
        <w:rPr>
          <w:i w:val="0"/>
        </w:rPr>
        <w:t>Customer, business and admin applications run in a local demonstration backed by an Express API, PostgreSQL/PostGIS and automated tests. The shared pricing engine now applies competitive fee targets and a hard $1 contribution floor after modeled costs. The demonstration is not live commerce or verified traction. Stripe Connect money movement, production hosting, external email/SMS, media storage and risk operations remain launch work. [1–4]</w:t>
      </w:r>
    </w:p>
    <w:p>
      <w:pPr>
        <w:pStyle w:val="Heading2"/>
        <w:widowControl/>
      </w:pPr>
      <w:r>
        <w:rPr>
          <w:color w:val="000000"/>
        </w:rPr>
        <w:t>Investment and partnership thesis</w:t>
      </w:r>
    </w:p>
    <w:p>
      <w:pPr>
        <w:pStyle w:val="ListBullet"/>
        <w:widowControl/>
        <w:spacing w:after="40" w:line="250" w:lineRule="auto"/>
      </w:pPr>
      <w:r>
        <w:t>Vertical workflow depth: event offers and timed/quantity ticket tiers, independent direct and promoter guestlist pools, event-specific referral links, commissions, door credentials, and role-scoped reporting share one event context.</w:t>
      </w:r>
    </w:p>
    <w:p>
      <w:pPr>
        <w:pStyle w:val="ListBullet"/>
        <w:widowControl/>
        <w:spacing w:after="40" w:line="250" w:lineRule="auto"/>
      </w:pPr>
      <w:r>
        <w:t>Marketplace loop hypothesis: organizers publish supply; employees and promoters distribute event-specific links; customers can discover across venues and return through Connections. The loop is a testable product hypothesis, not a demonstrated growth result.</w:t>
      </w:r>
    </w:p>
    <w:p>
      <w:pPr>
        <w:pStyle w:val="ListBullet"/>
        <w:widowControl/>
        <w:spacing w:after="40" w:line="250" w:lineRule="auto"/>
      </w:pPr>
      <w:r>
        <w:t>Capital discipline: retain a modular monolith and managed providers. The proposed $5 million raise funds a six-month execution target, with spending released against production readiness and pilot evidence. Geographic expansion depends on repeat bookings, realized contribution, support capacity and reliability.</w:t>
      </w:r>
    </w:p>
    <w:p>
      <w:pPr>
        <w:widowControl/>
      </w:pPr>
      <w:r>
        <w:rPr>
          <w:i/>
          <w:color w:val="5D5865"/>
          <w:sz w:val="18"/>
        </w:rPr>
        <w:t>This paper distinguishes working demo features, approved commercial policy and planned integrations. September 23, 2026 pricing decisions supersede earlier drafts. Roadmap windows are targets, not commitments. Public competitor information does not establish exact feature parity, negotiated pricing or production performance. [2, 5–10, 27–30]</w:t>
      </w:r>
    </w:p>
    <w:p>
      <w:pPr>
        <w:widowControl/>
      </w:pPr>
      <w:r>
        <w:br w:type="page"/>
      </w:r>
    </w:p>
    <w:p>
      <w:pPr>
        <w:pStyle w:val="Heading1"/>
        <w:widowControl/>
      </w:pPr>
      <w:r>
        <w:rPr>
          <w:color w:val="000000"/>
        </w:rPr>
        <w:t>1  Product scope and present state</w:t>
      </w:r>
    </w:p>
    <w:p>
      <w:pPr>
        <w:widowControl/>
      </w:pPr>
      <w:r>
        <w:rPr>
          <w:i w:val="0"/>
        </w:rPr>
        <w:t>Nitewide is nightlife-focused at launch and uses a reusable domain model intended to support adjacent live experiences over time. Six connected capabilities organize the product: discover local events; sell tickets, packages, guestlist access, and reservations; promote through referral links and rewards; manage organizations, venues, staff, inventory, and admission; analyze sales and attendance; and communicate with customers and operators.</w:t>
      </w:r>
    </w:p>
    <w:p>
      <w:pPr>
        <w:pStyle w:val="Heading2"/>
        <w:widowControl/>
      </w:pPr>
      <w:r>
        <w:rPr>
          <w:color w:val="000000"/>
        </w:rPr>
        <w:t>Three surfaces one event record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80"/>
        <w:gridCol w:w="5760"/>
      </w:tblGrid>
      <w:tr>
        <w:trPr>
          <w:tblHeader w:val="true"/>
          <w:cantSplit/>
          <w:tblHeader/>
        </w:trPr>
        <w:tc>
          <w:tcPr>
            <w:tcW w:type="dxa" w:w="3389"/>
            <w:vAlign w:val="center"/>
            <w:tcMar>
              <w:top w:w="75" w:type="dxa"/>
              <w:start w:w="75" w:type="dxa"/>
              <w:bottom w:w="75" w:type="dxa"/>
              <w:end w:w="75" w:type="dxa"/>
            </w:tcMar>
            <w:shd w:fill="303039"/>
          </w:tcPr>
          <w:p>
            <w:pPr>
              <w:spacing w:after="0" w:before="0" w:line="250" w:lineRule="auto"/>
            </w:pPr>
            <w:r>
              <w:rPr>
                <w:rFonts w:ascii="Arial" w:hAnsi="Arial"/>
                <w:b/>
                <w:color w:val="FFFFFF"/>
                <w:sz w:val="17"/>
              </w:rPr>
              <w:t>Surface</w:t>
            </w:r>
          </w:p>
        </w:tc>
        <w:tc>
          <w:tcPr>
            <w:tcW w:type="dxa" w:w="3389"/>
            <w:vAlign w:val="center"/>
            <w:tcMar>
              <w:top w:w="75" w:type="dxa"/>
              <w:start w:w="75" w:type="dxa"/>
              <w:bottom w:w="75" w:type="dxa"/>
              <w:end w:w="75" w:type="dxa"/>
            </w:tcMar>
            <w:shd w:fill="303039"/>
          </w:tcPr>
          <w:p>
            <w:pPr>
              <w:spacing w:after="0" w:before="0" w:line="250" w:lineRule="auto"/>
            </w:pPr>
            <w:r>
              <w:rPr>
                <w:rFonts w:ascii="Arial" w:hAnsi="Arial"/>
                <w:b/>
                <w:color w:val="FFFFFF"/>
                <w:sz w:val="17"/>
              </w:rPr>
              <w:t>Primary users and value</w:t>
            </w:r>
          </w:p>
        </w:tc>
        <w:tc>
          <w:tcPr>
            <w:tcW w:type="dxa" w:w="3389"/>
            <w:vAlign w:val="center"/>
            <w:tcMar>
              <w:top w:w="75" w:type="dxa"/>
              <w:start w:w="75" w:type="dxa"/>
              <w:bottom w:w="75" w:type="dxa"/>
              <w:end w:w="75" w:type="dxa"/>
            </w:tcMar>
            <w:shd w:fill="303039"/>
          </w:tcPr>
          <w:p>
            <w:pPr>
              <w:spacing w:after="0" w:before="0" w:line="250" w:lineRule="auto"/>
            </w:pPr>
            <w:r>
              <w:rPr>
                <w:rFonts w:ascii="Arial" w:hAnsi="Arial"/>
                <w:b/>
                <w:color w:val="FFFFFF"/>
                <w:sz w:val="17"/>
              </w:rPr>
              <w:t>Current demo capability</w:t>
            </w:r>
          </w:p>
        </w:tc>
      </w:tr>
      <w:tr>
        <w:trPr>
          <w:cantSplit/>
        </w:trPr>
        <w:tc>
          <w:tcPr>
            <w:tcW w:type="dxa" w:w="1440"/>
            <w:vAlign w:val="center"/>
            <w:tcMar>
              <w:top w:w="75" w:type="dxa"/>
              <w:start w:w="75" w:type="dxa"/>
              <w:bottom w:w="75" w:type="dxa"/>
              <w:end w:w="75" w:type="dxa"/>
            </w:tcMar>
            <w:shd w:fill="F5F5F7"/>
          </w:tcPr>
          <w:p>
            <w:pPr>
              <w:spacing w:after="0" w:line="250" w:lineRule="auto" w:before="0"/>
            </w:pPr>
            <w:r>
              <w:rPr>
                <w:rFonts w:ascii="Arial" w:hAnsi="Arial"/>
                <w:b/>
                <w:color w:val="18181C"/>
                <w:sz w:val="17"/>
              </w:rPr>
              <w:t>Customer</w:t>
            </w:r>
          </w:p>
        </w:tc>
        <w:tc>
          <w:tcPr>
            <w:tcW w:type="dxa" w:w="2880"/>
            <w:vAlign w:val="center"/>
            <w:tcMar>
              <w:top w:w="75" w:type="dxa"/>
              <w:start w:w="75" w:type="dxa"/>
              <w:bottom w:w="75" w:type="dxa"/>
              <w:end w:w="75" w:type="dxa"/>
            </w:tcMar>
            <w:shd w:fill="F5F5F7"/>
          </w:tcPr>
          <w:p>
            <w:pPr>
              <w:spacing w:after="0" w:line="250" w:lineRule="auto" w:before="0"/>
            </w:pPr>
            <w:r>
              <w:rPr>
                <w:rFonts w:ascii="Arial" w:hAnsi="Arial"/>
                <w:color w:val="18181C"/>
                <w:sz w:val="17"/>
              </w:rPr>
              <w:t>Guests discovering and booking experiences</w:t>
            </w:r>
          </w:p>
        </w:tc>
        <w:tc>
          <w:tcPr>
            <w:tcW w:type="dxa" w:w="5760"/>
            <w:vAlign w:val="center"/>
            <w:tcMar>
              <w:top w:w="75" w:type="dxa"/>
              <w:start w:w="75" w:type="dxa"/>
              <w:bottom w:w="75" w:type="dxa"/>
              <w:end w:w="75" w:type="dxa"/>
            </w:tcMar>
            <w:shd w:fill="F5F5F7"/>
          </w:tcPr>
          <w:p>
            <w:pPr>
              <w:spacing w:after="0" w:line="250" w:lineRule="auto" w:before="0"/>
            </w:pPr>
            <w:r>
              <w:rPr>
                <w:rFonts w:ascii="Arial" w:hAnsi="Arial"/>
                <w:color w:val="18181C"/>
                <w:sz w:val="17"/>
              </w:rPr>
              <w:t>Mobile-first event discovery, saved/booked views, profile, tickets/guestlist entries, QR display, referral-aware booking, mock checkout.</w:t>
            </w:r>
          </w:p>
        </w:tc>
      </w:tr>
      <w:tr>
        <w:trPr>
          <w:cantSplit/>
        </w:trPr>
        <w:tc>
          <w:tcPr>
            <w:tcW w:type="dxa" w:w="1440"/>
            <w:vAlign w:val="center"/>
            <w:tcMar>
              <w:top w:w="75" w:type="dxa"/>
              <w:start w:w="75" w:type="dxa"/>
              <w:bottom w:w="75" w:type="dxa"/>
              <w:end w:w="75" w:type="dxa"/>
            </w:tcMar>
            <w:shd w:fill="FFFFFF"/>
          </w:tcPr>
          <w:p>
            <w:pPr>
              <w:spacing w:after="0" w:line="250" w:lineRule="auto" w:before="0"/>
            </w:pPr>
            <w:r>
              <w:rPr>
                <w:rFonts w:ascii="Arial" w:hAnsi="Arial"/>
                <w:b/>
                <w:color w:val="18181C"/>
                <w:sz w:val="17"/>
              </w:rPr>
              <w:t>Business</w:t>
            </w:r>
          </w:p>
        </w:tc>
        <w:tc>
          <w:tcPr>
            <w:tcW w:type="dxa" w:w="2880"/>
            <w:vAlign w:val="center"/>
            <w:tcMar>
              <w:top w:w="75" w:type="dxa"/>
              <w:start w:w="75" w:type="dxa"/>
              <w:bottom w:w="75" w:type="dxa"/>
              <w:end w:w="75" w:type="dxa"/>
            </w:tcMar>
            <w:shd w:fill="FFFFFF"/>
          </w:tcPr>
          <w:p>
            <w:pPr>
              <w:spacing w:after="0" w:line="250" w:lineRule="auto" w:before="0"/>
            </w:pPr>
            <w:r>
              <w:rPr>
                <w:rFonts w:ascii="Arial" w:hAnsi="Arial"/>
                <w:color w:val="18181C"/>
                <w:sz w:val="17"/>
              </w:rPr>
              <w:t>Organization owners, managers, employees, promoters, and independent creators</w:t>
            </w:r>
          </w:p>
        </w:tc>
        <w:tc>
          <w:tcPr>
            <w:tcW w:type="dxa" w:w="5760"/>
            <w:vAlign w:val="center"/>
            <w:tcMar>
              <w:top w:w="75" w:type="dxa"/>
              <w:start w:w="75" w:type="dxa"/>
              <w:bottom w:w="75" w:type="dxa"/>
              <w:end w:w="75" w:type="dxa"/>
            </w:tcMar>
            <w:shd w:fill="FFFFFF"/>
          </w:tcPr>
          <w:p>
            <w:pPr>
              <w:spacing w:after="0" w:line="250" w:lineRule="auto" w:before="0"/>
            </w:pPr>
            <w:r>
              <w:rPr>
                <w:rFonts w:ascii="Arial" w:hAnsi="Arial"/>
                <w:color w:val="18181C"/>
                <w:sz w:val="17"/>
              </w:rPr>
              <w:t>Event create/edit, timed and quantity ticket tiers, guestlist pools and requests, team/promoter setup, event links, commission settings, sales and attendee reporting.</w:t>
            </w:r>
          </w:p>
        </w:tc>
      </w:tr>
      <w:tr>
        <w:trPr>
          <w:cantSplit/>
        </w:trPr>
        <w:tc>
          <w:tcPr>
            <w:tcW w:type="dxa" w:w="1440"/>
            <w:vAlign w:val="center"/>
            <w:tcMar>
              <w:top w:w="75" w:type="dxa"/>
              <w:start w:w="75" w:type="dxa"/>
              <w:bottom w:w="75" w:type="dxa"/>
              <w:end w:w="75" w:type="dxa"/>
            </w:tcMar>
            <w:shd w:fill="F5F5F7"/>
          </w:tcPr>
          <w:p>
            <w:pPr>
              <w:spacing w:after="0" w:line="250" w:lineRule="auto" w:before="0"/>
            </w:pPr>
            <w:r>
              <w:rPr>
                <w:rFonts w:ascii="Arial" w:hAnsi="Arial"/>
                <w:b/>
                <w:color w:val="18181C"/>
                <w:sz w:val="17"/>
              </w:rPr>
              <w:t>Admin</w:t>
            </w:r>
          </w:p>
        </w:tc>
        <w:tc>
          <w:tcPr>
            <w:tcW w:type="dxa" w:w="2880"/>
            <w:vAlign w:val="center"/>
            <w:tcMar>
              <w:top w:w="75" w:type="dxa"/>
              <w:start w:w="75" w:type="dxa"/>
              <w:bottom w:w="75" w:type="dxa"/>
              <w:end w:w="75" w:type="dxa"/>
            </w:tcMar>
            <w:shd w:fill="F5F5F7"/>
          </w:tcPr>
          <w:p>
            <w:pPr>
              <w:spacing w:after="0" w:line="250" w:lineRule="auto" w:before="0"/>
            </w:pPr>
            <w:r>
              <w:rPr>
                <w:rFonts w:ascii="Arial" w:hAnsi="Arial"/>
                <w:color w:val="18181C"/>
                <w:sz w:val="17"/>
              </w:rPr>
              <w:t>Authorized platform support and operations</w:t>
            </w:r>
          </w:p>
        </w:tc>
        <w:tc>
          <w:tcPr>
            <w:tcW w:type="dxa" w:w="5760"/>
            <w:vAlign w:val="center"/>
            <w:tcMar>
              <w:top w:w="75" w:type="dxa"/>
              <w:start w:w="75" w:type="dxa"/>
              <w:bottom w:w="75" w:type="dxa"/>
              <w:end w:w="75" w:type="dxa"/>
            </w:tcMar>
            <w:shd w:fill="F5F5F7"/>
          </w:tcPr>
          <w:p>
            <w:pPr>
              <w:spacing w:after="0" w:line="250" w:lineRule="auto" w:before="0"/>
            </w:pPr>
            <w:r>
              <w:rPr>
                <w:rFonts w:ascii="Arial" w:hAnsi="Arial"/>
                <w:color w:val="18181C"/>
                <w:sz w:val="17"/>
              </w:rPr>
              <w:t>High-level search, filters, drilldowns, user/event support, analytics, and constrained administrative overrides.</w:t>
            </w:r>
          </w:p>
        </w:tc>
      </w:tr>
    </w:tbl>
    <w:p>
      <w:pPr>
        <w:widowControl/>
        <w:spacing w:after="20"/>
      </w:pPr>
    </w:p>
    <w:p>
      <w:pPr>
        <w:pStyle w:val="Heading2"/>
        <w:widowControl/>
      </w:pPr>
      <w:r>
        <w:rPr>
          <w:color w:val="000000"/>
        </w:rPr>
        <w:t>Implemented demonstration versus production service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cantSplit/>
          <w:tblHeader/>
        </w:trPr>
        <w:tc>
          <w:tcPr>
            <w:tcW w:type="dxa" w:w="5083"/>
            <w:vAlign w:val="center"/>
            <w:tcMar>
              <w:top w:w="75" w:type="dxa"/>
              <w:start w:w="75" w:type="dxa"/>
              <w:bottom w:w="75" w:type="dxa"/>
              <w:end w:w="75" w:type="dxa"/>
            </w:tcMar>
            <w:shd w:fill="303039"/>
          </w:tcPr>
          <w:p>
            <w:pPr>
              <w:spacing w:after="0" w:before="0" w:line="250" w:lineRule="auto"/>
            </w:pPr>
            <w:r>
              <w:rPr>
                <w:rFonts w:ascii="Arial" w:hAnsi="Arial"/>
                <w:b/>
                <w:color w:val="FFFFFF"/>
                <w:sz w:val="16"/>
              </w:rPr>
              <w:t>Implemented in repository/demo</w:t>
            </w:r>
          </w:p>
        </w:tc>
        <w:tc>
          <w:tcPr>
            <w:tcW w:type="dxa" w:w="5083"/>
            <w:vAlign w:val="center"/>
            <w:tcMar>
              <w:top w:w="75" w:type="dxa"/>
              <w:start w:w="75" w:type="dxa"/>
              <w:bottom w:w="75" w:type="dxa"/>
              <w:end w:w="75" w:type="dxa"/>
            </w:tcMar>
            <w:shd w:fill="303039"/>
          </w:tcPr>
          <w:p>
            <w:pPr>
              <w:spacing w:after="0" w:before="0" w:line="250" w:lineRule="auto"/>
            </w:pPr>
            <w:r>
              <w:rPr>
                <w:rFonts w:ascii="Arial" w:hAnsi="Arial"/>
                <w:b/>
                <w:color w:val="FFFFFF"/>
                <w:sz w:val="16"/>
              </w:rPr>
              <w:t>Not yet represented as live production capability</w:t>
            </w:r>
          </w:p>
        </w:tc>
      </w:tr>
      <w:tr>
        <w:trPr>
          <w:cantSplit/>
        </w:trPr>
        <w:tc>
          <w:tcPr>
            <w:tcW w:type="dxa" w:w="5112"/>
            <w:vAlign w:val="center"/>
            <w:tcMar>
              <w:top w:w="75" w:type="dxa"/>
              <w:start w:w="75" w:type="dxa"/>
              <w:bottom w:w="75" w:type="dxa"/>
              <w:end w:w="75" w:type="dxa"/>
            </w:tcMar>
            <w:shd w:fill="F5F5F7"/>
          </w:tcPr>
          <w:p>
            <w:pPr>
              <w:spacing w:after="0" w:line="250" w:lineRule="auto" w:before="0"/>
            </w:pPr>
            <w:r>
              <w:rPr>
                <w:rFonts w:ascii="Arial" w:hAnsi="Arial"/>
                <w:color w:val="18181C"/>
                <w:sz w:val="16"/>
              </w:rPr>
              <w:t>Express API, React/Vite applications, PostgreSQL/PostGIS persistence and migrations.</w:t>
            </w:r>
          </w:p>
        </w:tc>
        <w:tc>
          <w:tcPr>
            <w:tcW w:type="dxa" w:w="5112"/>
            <w:vAlign w:val="center"/>
            <w:tcMar>
              <w:top w:w="75" w:type="dxa"/>
              <w:start w:w="75" w:type="dxa"/>
              <w:bottom w:w="75" w:type="dxa"/>
              <w:end w:w="75" w:type="dxa"/>
            </w:tcMar>
            <w:shd w:fill="F5F5F7"/>
          </w:tcPr>
          <w:p>
            <w:pPr>
              <w:spacing w:after="0" w:line="250" w:lineRule="auto" w:before="0"/>
            </w:pPr>
            <w:r>
              <w:rPr>
                <w:rFonts w:ascii="Arial" w:hAnsi="Arial"/>
                <w:color w:val="18181C"/>
                <w:sz w:val="16"/>
              </w:rPr>
              <w:t>Managed production identity, deployed production topology, operational SLO evidence.</w:t>
            </w:r>
          </w:p>
        </w:tc>
      </w:tr>
      <w:tr>
        <w:trPr>
          <w:cantSplit/>
        </w:trPr>
        <w:tc>
          <w:tcPr>
            <w:tcW w:type="dxa" w:w="5112"/>
            <w:vAlign w:val="center"/>
            <w:tcMar>
              <w:top w:w="75" w:type="dxa"/>
              <w:start w:w="75" w:type="dxa"/>
              <w:bottom w:w="75" w:type="dxa"/>
              <w:end w:w="75" w:type="dxa"/>
            </w:tcMar>
            <w:shd w:fill="FFFFFF"/>
          </w:tcPr>
          <w:p>
            <w:pPr>
              <w:spacing w:after="0" w:line="250" w:lineRule="auto" w:before="0"/>
            </w:pPr>
            <w:r>
              <w:rPr>
                <w:rFonts w:ascii="Arial" w:hAnsi="Arial"/>
                <w:color w:val="18181C"/>
                <w:sz w:val="16"/>
              </w:rPr>
              <w:t>Local sign-in, role/relationship authorization, event and guestlist workflows, demo orders, QR records, attribution, commissions, notifications, analytics, audit events.</w:t>
            </w:r>
          </w:p>
        </w:tc>
        <w:tc>
          <w:tcPr>
            <w:tcW w:type="dxa" w:w="5112"/>
            <w:vAlign w:val="center"/>
            <w:tcMar>
              <w:top w:w="75" w:type="dxa"/>
              <w:start w:w="75" w:type="dxa"/>
              <w:bottom w:w="75" w:type="dxa"/>
              <w:end w:w="75" w:type="dxa"/>
            </w:tcMar>
            <w:shd w:fill="FFFFFF"/>
          </w:tcPr>
          <w:p>
            <w:pPr>
              <w:spacing w:after="0" w:line="250" w:lineRule="auto" w:before="0"/>
            </w:pPr>
            <w:r>
              <w:rPr>
                <w:rFonts w:ascii="Arial" w:hAnsi="Arial"/>
                <w:color w:val="18181C"/>
                <w:sz w:val="16"/>
              </w:rPr>
              <w:t>Real Stripe capture, Connect onboarding/KYC-KYB, refunds, payouts, provider reconciliation and live dispute handling.</w:t>
            </w:r>
          </w:p>
        </w:tc>
      </w:tr>
      <w:tr>
        <w:trPr>
          <w:cantSplit/>
        </w:trPr>
        <w:tc>
          <w:tcPr>
            <w:tcW w:type="dxa" w:w="5112"/>
            <w:vAlign w:val="center"/>
            <w:tcMar>
              <w:top w:w="75" w:type="dxa"/>
              <w:start w:w="75" w:type="dxa"/>
              <w:bottom w:w="75" w:type="dxa"/>
              <w:end w:w="75" w:type="dxa"/>
            </w:tcMar>
            <w:shd w:fill="F5F5F7"/>
          </w:tcPr>
          <w:p>
            <w:pPr>
              <w:spacing w:after="0" w:line="250" w:lineRule="auto" w:before="0"/>
            </w:pPr>
            <w:r>
              <w:rPr>
                <w:rFonts w:ascii="Arial" w:hAnsi="Arial"/>
                <w:color w:val="18181C"/>
                <w:sz w:val="16"/>
              </w:rPr>
              <w:t>Database transactions and tests for inventory, guestlist allocation, event attribution, roles and reporting.</w:t>
            </w:r>
          </w:p>
        </w:tc>
        <w:tc>
          <w:tcPr>
            <w:tcW w:type="dxa" w:w="5112"/>
            <w:vAlign w:val="center"/>
            <w:tcMar>
              <w:top w:w="75" w:type="dxa"/>
              <w:start w:w="75" w:type="dxa"/>
              <w:bottom w:w="75" w:type="dxa"/>
              <w:end w:w="75" w:type="dxa"/>
            </w:tcMar>
            <w:shd w:fill="F5F5F7"/>
          </w:tcPr>
          <w:p>
            <w:pPr>
              <w:spacing w:after="0" w:line="250" w:lineRule="auto" w:before="0"/>
            </w:pPr>
            <w:r>
              <w:rPr>
                <w:rFonts w:ascii="Arial" w:hAnsi="Arial"/>
                <w:color w:val="18181C"/>
                <w:sz w:val="16"/>
              </w:rPr>
              <w:t>Email/SMS delivery, background worker operations, live media object storage, retention and production-grade abuse controls.</w:t>
            </w:r>
          </w:p>
        </w:tc>
      </w:tr>
      <w:tr>
        <w:trPr>
          <w:cantSplit/>
        </w:trPr>
        <w:tc>
          <w:tcPr>
            <w:tcW w:type="dxa" w:w="5112"/>
            <w:vAlign w:val="center"/>
            <w:tcMar>
              <w:top w:w="75" w:type="dxa"/>
              <w:start w:w="75" w:type="dxa"/>
              <w:bottom w:w="75" w:type="dxa"/>
              <w:end w:w="75" w:type="dxa"/>
            </w:tcMar>
            <w:shd w:fill="FFFFFF"/>
          </w:tcPr>
          <w:p>
            <w:pPr>
              <w:spacing w:after="0" w:line="250" w:lineRule="auto" w:before="0"/>
            </w:pPr>
            <w:r>
              <w:rPr>
                <w:rFonts w:ascii="Arial" w:hAnsi="Arial"/>
                <w:color w:val="18181C"/>
                <w:sz w:val="16"/>
              </w:rPr>
              <w:t>Seeded Orlando marketplace records and browser-tested UI flows.</w:t>
            </w:r>
          </w:p>
        </w:tc>
        <w:tc>
          <w:tcPr>
            <w:tcW w:type="dxa" w:w="5112"/>
            <w:vAlign w:val="center"/>
            <w:tcMar>
              <w:top w:w="75" w:type="dxa"/>
              <w:start w:w="75" w:type="dxa"/>
              <w:bottom w:w="75" w:type="dxa"/>
              <w:end w:w="75" w:type="dxa"/>
            </w:tcMar>
            <w:shd w:fill="FFFFFF"/>
          </w:tcPr>
          <w:p>
            <w:pPr>
              <w:spacing w:after="0" w:line="250" w:lineRule="auto" w:before="0"/>
            </w:pPr>
            <w:r>
              <w:rPr>
                <w:rFonts w:ascii="Arial" w:hAnsi="Arial"/>
                <w:color w:val="18181C"/>
                <w:sz w:val="16"/>
              </w:rPr>
              <w:t>Production customer/venue traction, paid GMV, conversion, retention, and financial outcomes.</w:t>
            </w:r>
          </w:p>
        </w:tc>
      </w:tr>
    </w:tbl>
    <w:p>
      <w:pPr>
        <w:widowControl/>
        <w:spacing w:after="20"/>
      </w:pPr>
    </w:p>
    <w:p>
      <w:pPr>
        <w:widowControl/>
      </w:pPr>
      <w:r>
        <w:rPr>
          <w:i/>
          <w:color w:val="5D5865"/>
          <w:sz w:val="18"/>
        </w:rPr>
        <w:t>The customer checkout in demo mode creates local test records and explicitly does not charge a card or issue a credential valid for entry. Seed data exists to exercise reporting and flows; it is not commercial activity or a forecast. [1–4]</w:t>
      </w:r>
    </w:p>
    <w:p>
      <w:pPr>
        <w:widowControl/>
      </w:pPr>
      <w:r>
        <w:br w:type="page"/>
      </w:r>
    </w:p>
    <w:p>
      <w:pPr>
        <w:pStyle w:val="Heading1"/>
        <w:widowControl/>
      </w:pPr>
      <w:r>
        <w:rPr>
          <w:color w:val="000000"/>
        </w:rPr>
        <w:t>2  Product workflows and domain controls</w:t>
      </w:r>
    </w:p>
    <w:p>
      <w:pPr>
        <w:pStyle w:val="Heading2"/>
        <w:widowControl/>
      </w:pPr>
      <w:r>
        <w:rPr>
          <w:color w:val="000000"/>
        </w:rPr>
        <w:t>Customer acquisition booking and attendance</w:t>
      </w:r>
    </w:p>
    <w:p>
      <w:pPr>
        <w:widowControl/>
      </w:pPr>
      <w:r>
        <w:rPr>
          <w:i w:val="0"/>
        </w:rPr>
        <w:t>An event referral link retains its authorized referrer through sign-in, purchase or guestlist request. Connections can show the same promoter’s eligible events at different venues. The customer sees who they are booking with before confirmation. Demo purchases retain price and commission snapshots, so later changes do not rewrite completed sales. Guest invitations identify an existing customer or claim a request after signup when space remains. Owners and managers oversee authorized requests; employees and promoters can approve or decline only their own referrals. [3, 4]</w:t>
      </w:r>
    </w:p>
    <w:p>
      <w:pPr>
        <w:pStyle w:val="Heading2"/>
        <w:widowControl/>
      </w:pPr>
      <w:r>
        <w:rPr>
          <w:color w:val="000000"/>
        </w:rPr>
        <w:t>Offerings inventory and guestlists</w:t>
      </w:r>
    </w:p>
    <w:p>
      <w:pPr>
        <w:widowControl/>
      </w:pPr>
      <w:r>
        <w:rPr>
          <w:i w:val="0"/>
        </w:rPr>
        <w:t>Offerings support sequential tiers that open after sell-through, a date-window close or an authorized manual close. Guestlists use a direct pool and separate per-person event allocations. Approvals consume the applicable pool, declines release it, and a declined request can later be approved if capacity remains. Draft events cannot invite guests. Inventory and guestlist changes require transactional capacity checks and idempotent writes. [2–4]</w:t>
      </w:r>
    </w:p>
    <w:p>
      <w:pPr>
        <w:pStyle w:val="Heading2"/>
        <w:widowControl/>
      </w:pPr>
      <w:r>
        <w:rPr>
          <w:color w:val="000000"/>
        </w:rPr>
        <w:t>Role scoped operations</w:t>
      </w:r>
    </w:p>
    <w:p>
      <w:pPr>
        <w:widowControl/>
      </w:pPr>
      <w:r>
        <w:rPr>
          <w:i w:val="0"/>
        </w:rPr>
        <w:t>The same person can hold distinct capabilities in different contexts. Owners and managers can oversee permitted venues and events; venue employees see their own venue-scoped activity; event-only promoters see their assigned event activity; independent creators manage their own events. High-impact operations—role changes, invitations, commission changes, guestlist approvals, and overrides—are authorization-checked on the API, not merely hidden in the UI. Admin access is separate and audited.</w:t>
      </w:r>
    </w:p>
    <w:p>
      <w:pPr>
        <w:pStyle w:val="Heading2"/>
        <w:widowControl/>
      </w:pPr>
      <w:r>
        <w:rPr>
          <w:color w:val="000000"/>
        </w:rPr>
        <w:t>Trustworthy records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val="true"/>
          <w:cantSplit/>
          <w:tblHeader/>
        </w:trPr>
        <w:tc>
          <w:tcPr>
            <w:tcW w:type="dxa" w:w="5083"/>
            <w:vAlign w:val="center"/>
            <w:tcMar>
              <w:top w:w="75" w:type="dxa"/>
              <w:start w:w="75" w:type="dxa"/>
              <w:bottom w:w="75" w:type="dxa"/>
              <w:end w:w="75" w:type="dxa"/>
            </w:tcMar>
            <w:shd w:fill="303039"/>
          </w:tcPr>
          <w:p>
            <w:pPr>
              <w:spacing w:after="0" w:before="0" w:line="250" w:lineRule="auto"/>
            </w:pPr>
            <w:r>
              <w:rPr>
                <w:rFonts w:ascii="Arial" w:hAnsi="Arial"/>
                <w:b/>
                <w:color w:val="FFFFFF"/>
                <w:sz w:val="16"/>
              </w:rPr>
              <w:t>Record</w:t>
            </w:r>
          </w:p>
        </w:tc>
        <w:tc>
          <w:tcPr>
            <w:tcW w:type="dxa" w:w="5083"/>
            <w:vAlign w:val="center"/>
            <w:tcMar>
              <w:top w:w="75" w:type="dxa"/>
              <w:start w:w="75" w:type="dxa"/>
              <w:bottom w:w="75" w:type="dxa"/>
              <w:end w:w="75" w:type="dxa"/>
            </w:tcMar>
            <w:shd w:fill="303039"/>
          </w:tcPr>
          <w:p>
            <w:pPr>
              <w:spacing w:after="0" w:before="0" w:line="250" w:lineRule="auto"/>
            </w:pPr>
            <w:r>
              <w:rPr>
                <w:rFonts w:ascii="Arial" w:hAnsi="Arial"/>
                <w:b/>
                <w:color w:val="FFFFFF"/>
                <w:sz w:val="16"/>
              </w:rPr>
              <w:t>Meaning and invariant</w:t>
            </w:r>
          </w:p>
        </w:tc>
      </w:tr>
      <w:tr>
        <w:trPr>
          <w:cantSplit/>
        </w:trPr>
        <w:tc>
          <w:tcPr>
            <w:tcW w:type="dxa" w:w="2376"/>
            <w:vAlign w:val="center"/>
            <w:tcMar>
              <w:top w:w="75" w:type="dxa"/>
              <w:start w:w="75" w:type="dxa"/>
              <w:bottom w:w="75" w:type="dxa"/>
              <w:end w:w="75" w:type="dxa"/>
            </w:tcMar>
            <w:shd w:fill="F5F5F7"/>
          </w:tcPr>
          <w:p>
            <w:pPr>
              <w:spacing w:after="0" w:line="250" w:lineRule="auto" w:before="0"/>
            </w:pPr>
            <w:r>
              <w:rPr>
                <w:rFonts w:ascii="Arial" w:hAnsi="Arial"/>
                <w:b/>
                <w:color w:val="18181C"/>
                <w:sz w:val="16"/>
              </w:rPr>
              <w:t>Offering → order item</w:t>
            </w:r>
          </w:p>
        </w:tc>
        <w:tc>
          <w:tcPr>
            <w:tcW w:type="dxa" w:w="7848"/>
            <w:vAlign w:val="center"/>
            <w:tcMar>
              <w:top w:w="75" w:type="dxa"/>
              <w:start w:w="75" w:type="dxa"/>
              <w:bottom w:w="75" w:type="dxa"/>
              <w:end w:w="75" w:type="dxa"/>
            </w:tcMar>
            <w:shd w:fill="F5F5F7"/>
          </w:tcPr>
          <w:p>
            <w:pPr>
              <w:spacing w:after="0" w:line="250" w:lineRule="auto" w:before="0"/>
            </w:pPr>
            <w:r>
              <w:rPr>
                <w:rFonts w:ascii="Arial" w:hAnsi="Arial"/>
                <w:color w:val="18181C"/>
                <w:sz w:val="16"/>
              </w:rPr>
              <w:t>Reusable offer definition versus immutable price/quantity snapshot at purchase.</w:t>
            </w:r>
          </w:p>
        </w:tc>
      </w:tr>
      <w:tr>
        <w:trPr>
          <w:cantSplit/>
        </w:trPr>
        <w:tc>
          <w:tcPr>
            <w:tcW w:type="dxa" w:w="2376"/>
            <w:vAlign w:val="center"/>
            <w:tcMar>
              <w:top w:w="75" w:type="dxa"/>
              <w:start w:w="75" w:type="dxa"/>
              <w:bottom w:w="75" w:type="dxa"/>
              <w:end w:w="75" w:type="dxa"/>
            </w:tcMar>
            <w:shd w:fill="FFFFFF"/>
          </w:tcPr>
          <w:p>
            <w:pPr>
              <w:spacing w:after="0" w:line="250" w:lineRule="auto" w:before="0"/>
            </w:pPr>
            <w:r>
              <w:rPr>
                <w:rFonts w:ascii="Arial" w:hAnsi="Arial"/>
                <w:b/>
                <w:color w:val="18181C"/>
                <w:sz w:val="16"/>
              </w:rPr>
              <w:t>Order → payment reference</w:t>
            </w:r>
          </w:p>
        </w:tc>
        <w:tc>
          <w:tcPr>
            <w:tcW w:type="dxa" w:w="7848"/>
            <w:vAlign w:val="center"/>
            <w:tcMar>
              <w:top w:w="75" w:type="dxa"/>
              <w:start w:w="75" w:type="dxa"/>
              <w:bottom w:w="75" w:type="dxa"/>
              <w:end w:w="75" w:type="dxa"/>
            </w:tcMar>
            <w:shd w:fill="FFFFFF"/>
          </w:tcPr>
          <w:p>
            <w:pPr>
              <w:spacing w:after="0" w:line="250" w:lineRule="auto" w:before="0"/>
            </w:pPr>
            <w:r>
              <w:rPr>
                <w:rFonts w:ascii="Arial" w:hAnsi="Arial"/>
                <w:color w:val="18181C"/>
                <w:sz w:val="16"/>
              </w:rPr>
              <w:t>Customer transaction and provider object link; money tracked in integer minor units.</w:t>
            </w:r>
          </w:p>
        </w:tc>
      </w:tr>
      <w:tr>
        <w:trPr>
          <w:cantSplit/>
        </w:trPr>
        <w:tc>
          <w:tcPr>
            <w:tcW w:type="dxa" w:w="2376"/>
            <w:vAlign w:val="center"/>
            <w:tcMar>
              <w:top w:w="75" w:type="dxa"/>
              <w:start w:w="75" w:type="dxa"/>
              <w:bottom w:w="75" w:type="dxa"/>
              <w:end w:w="75" w:type="dxa"/>
            </w:tcMar>
            <w:shd w:fill="F5F5F7"/>
          </w:tcPr>
          <w:p>
            <w:pPr>
              <w:spacing w:after="0" w:line="250" w:lineRule="auto" w:before="0"/>
            </w:pPr>
            <w:r>
              <w:rPr>
                <w:rFonts w:ascii="Arial" w:hAnsi="Arial"/>
                <w:b/>
                <w:color w:val="18181C"/>
                <w:sz w:val="16"/>
              </w:rPr>
              <w:t>Referral → commission snapshot</w:t>
            </w:r>
          </w:p>
        </w:tc>
        <w:tc>
          <w:tcPr>
            <w:tcW w:type="dxa" w:w="7848"/>
            <w:vAlign w:val="center"/>
            <w:tcMar>
              <w:top w:w="75" w:type="dxa"/>
              <w:start w:w="75" w:type="dxa"/>
              <w:bottom w:w="75" w:type="dxa"/>
              <w:end w:w="75" w:type="dxa"/>
            </w:tcMar>
            <w:shd w:fill="F5F5F7"/>
          </w:tcPr>
          <w:p>
            <w:pPr>
              <w:spacing w:after="0" w:line="250" w:lineRule="auto" w:before="0"/>
            </w:pPr>
            <w:r>
              <w:rPr>
                <w:rFonts w:ascii="Arial" w:hAnsi="Arial"/>
                <w:color w:val="18181C"/>
                <w:sz w:val="16"/>
              </w:rPr>
              <w:t>Event-scoped source, applicable rate and recipient fixed at conversion; later policy changes do not rewrite history.</w:t>
            </w:r>
          </w:p>
        </w:tc>
      </w:tr>
      <w:tr>
        <w:trPr>
          <w:cantSplit/>
        </w:trPr>
        <w:tc>
          <w:tcPr>
            <w:tcW w:type="dxa" w:w="2376"/>
            <w:vAlign w:val="center"/>
            <w:tcMar>
              <w:top w:w="75" w:type="dxa"/>
              <w:start w:w="75" w:type="dxa"/>
              <w:bottom w:w="75" w:type="dxa"/>
              <w:end w:w="75" w:type="dxa"/>
            </w:tcMar>
            <w:shd w:fill="FFFFFF"/>
          </w:tcPr>
          <w:p>
            <w:pPr>
              <w:spacing w:after="0" w:line="250" w:lineRule="auto" w:before="0"/>
            </w:pPr>
            <w:r>
              <w:rPr>
                <w:rFonts w:ascii="Arial" w:hAnsi="Arial"/>
                <w:b/>
                <w:color w:val="18181C"/>
                <w:sz w:val="16"/>
              </w:rPr>
              <w:t>Credential → check-in</w:t>
            </w:r>
          </w:p>
        </w:tc>
        <w:tc>
          <w:tcPr>
            <w:tcW w:type="dxa" w:w="7848"/>
            <w:vAlign w:val="center"/>
            <w:tcMar>
              <w:top w:w="75" w:type="dxa"/>
              <w:start w:w="75" w:type="dxa"/>
              <w:bottom w:w="75" w:type="dxa"/>
              <w:end w:w="75" w:type="dxa"/>
            </w:tcMar>
            <w:shd w:fill="FFFFFF"/>
          </w:tcPr>
          <w:p>
            <w:pPr>
              <w:spacing w:after="0" w:line="250" w:lineRule="auto" w:before="0"/>
            </w:pPr>
            <w:r>
              <w:rPr>
                <w:rFonts w:ascii="Arial" w:hAnsi="Arial"/>
                <w:color w:val="18181C"/>
                <w:sz w:val="16"/>
              </w:rPr>
              <w:t>Opaque admission token, lifecycle state and authorized scan/override record.</w:t>
            </w:r>
          </w:p>
        </w:tc>
      </w:tr>
      <w:tr>
        <w:trPr>
          <w:cantSplit/>
        </w:trPr>
        <w:tc>
          <w:tcPr>
            <w:tcW w:type="dxa" w:w="2376"/>
            <w:vAlign w:val="center"/>
            <w:tcMar>
              <w:top w:w="75" w:type="dxa"/>
              <w:start w:w="75" w:type="dxa"/>
              <w:bottom w:w="75" w:type="dxa"/>
              <w:end w:w="75" w:type="dxa"/>
            </w:tcMar>
            <w:shd w:fill="F5F5F7"/>
          </w:tcPr>
          <w:p>
            <w:pPr>
              <w:spacing w:after="0" w:line="250" w:lineRule="auto" w:before="0"/>
            </w:pPr>
            <w:r>
              <w:rPr>
                <w:rFonts w:ascii="Arial" w:hAnsi="Arial"/>
                <w:b/>
                <w:color w:val="18181C"/>
                <w:sz w:val="16"/>
              </w:rPr>
              <w:t>Guestlist request → allocation</w:t>
            </w:r>
          </w:p>
        </w:tc>
        <w:tc>
          <w:tcPr>
            <w:tcW w:type="dxa" w:w="7848"/>
            <w:vAlign w:val="center"/>
            <w:tcMar>
              <w:top w:w="75" w:type="dxa"/>
              <w:start w:w="75" w:type="dxa"/>
              <w:bottom w:w="75" w:type="dxa"/>
              <w:end w:w="75" w:type="dxa"/>
            </w:tcMar>
            <w:shd w:fill="F5F5F7"/>
          </w:tcPr>
          <w:p>
            <w:pPr>
              <w:spacing w:after="0" w:line="250" w:lineRule="auto" w:before="0"/>
            </w:pPr>
            <w:r>
              <w:rPr>
                <w:rFonts w:ascii="Arial" w:hAnsi="Arial"/>
                <w:color w:val="18181C"/>
                <w:sz w:val="16"/>
              </w:rPr>
              <w:t>Request state, source/referrer and pool impact; capacity approval is transactional.</w:t>
            </w:r>
          </w:p>
        </w:tc>
      </w:tr>
      <w:tr>
        <w:trPr>
          <w:cantSplit/>
        </w:trPr>
        <w:tc>
          <w:tcPr>
            <w:tcW w:type="dxa" w:w="2376"/>
            <w:vAlign w:val="center"/>
            <w:tcMar>
              <w:top w:w="75" w:type="dxa"/>
              <w:start w:w="75" w:type="dxa"/>
              <w:bottom w:w="75" w:type="dxa"/>
              <w:end w:w="75" w:type="dxa"/>
            </w:tcMar>
            <w:shd w:fill="FFFFFF"/>
          </w:tcPr>
          <w:p>
            <w:pPr>
              <w:spacing w:after="0" w:line="250" w:lineRule="auto" w:before="0"/>
            </w:pPr>
            <w:r>
              <w:rPr>
                <w:rFonts w:ascii="Arial" w:hAnsi="Arial"/>
                <w:b/>
                <w:color w:val="18181C"/>
                <w:sz w:val="16"/>
              </w:rPr>
              <w:t>Audit and notification</w:t>
            </w:r>
          </w:p>
        </w:tc>
        <w:tc>
          <w:tcPr>
            <w:tcW w:type="dxa" w:w="7848"/>
            <w:vAlign w:val="center"/>
            <w:tcMar>
              <w:top w:w="75" w:type="dxa"/>
              <w:start w:w="75" w:type="dxa"/>
              <w:bottom w:w="75" w:type="dxa"/>
              <w:end w:w="75" w:type="dxa"/>
            </w:tcMar>
            <w:shd w:fill="FFFFFF"/>
          </w:tcPr>
          <w:p>
            <w:pPr>
              <w:spacing w:after="0" w:line="250" w:lineRule="auto" w:before="0"/>
            </w:pPr>
            <w:r>
              <w:rPr>
                <w:rFonts w:ascii="Arial" w:hAnsi="Arial"/>
                <w:color w:val="18181C"/>
                <w:sz w:val="16"/>
              </w:rPr>
              <w:t>Sensitive change provenance; in-app event notification is current, external delivery is future.</w:t>
            </w:r>
          </w:p>
        </w:tc>
      </w:tr>
    </w:tbl>
    <w:p>
      <w:pPr>
        <w:widowControl/>
        <w:spacing w:after="20"/>
      </w:pPr>
    </w:p>
    <w:p>
      <w:pPr>
        <w:widowControl/>
      </w:pPr>
      <w:r>
        <w:rPr>
          <w:i w:val="0"/>
          <w:sz w:val="19"/>
        </w:rPr>
        <w:t>This shared record model makes the operating view valuable beyond a simple ticket ledger: a business can connect sales and customer counts with referrer performance, commissions, guestlist demand, approved places, check-ins, and event-level outcomes. Measurement quality depends on reliable identity, event association, time-zone handling, and reconciliation rules.</w:t>
      </w:r>
    </w:p>
    <w:p>
      <w:pPr>
        <w:widowControl/>
      </w:pPr>
      <w:r>
        <w:br w:type="page"/>
      </w:r>
    </w:p>
    <w:p>
      <w:pPr>
        <w:pStyle w:val="Heading1"/>
        <w:widowControl/>
      </w:pPr>
      <w:r>
        <w:rPr>
          <w:color w:val="000000"/>
        </w:rPr>
        <w:t>3  Target architecture and integration boundaries</w:t>
      </w:r>
    </w:p>
    <w:p>
      <w:pPr>
        <w:widowControl/>
      </w:pPr>
      <w:r>
        <w:rPr>
          <w:i w:val="0"/>
        </w:rPr>
        <w:t>The planned system is a modular Express/Node application with three web clients and PostgreSQL/PostGIS as the durable source of truth. The roadmap favors provider-backed services around a coherent transactional core rather than a premature microservice decomposition. A Render deployment can host the API and persistent worker as separate services; static app delivery, database, networking and recovery choices require environment-level sizing and verification. [11, 12]</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232"/>
        <w:gridCol w:w="6480"/>
      </w:tblGrid>
      <w:tr>
        <w:trPr>
          <w:tblHeader w:val="true"/>
          <w:cantSplit/>
          <w:tblHeader/>
        </w:trPr>
        <w:tc>
          <w:tcPr>
            <w:tcW w:type="dxa" w:w="3389"/>
            <w:vAlign w:val="center"/>
            <w:tcMar>
              <w:top w:w="75" w:type="dxa"/>
              <w:start w:w="75" w:type="dxa"/>
              <w:bottom w:w="75" w:type="dxa"/>
              <w:end w:w="75" w:type="dxa"/>
            </w:tcMar>
            <w:shd w:fill="303039"/>
          </w:tcPr>
          <w:p>
            <w:pPr>
              <w:spacing w:after="0" w:before="0" w:line="250" w:lineRule="auto"/>
            </w:pPr>
            <w:r>
              <w:rPr>
                <w:rFonts w:ascii="Arial" w:hAnsi="Arial"/>
                <w:b/>
                <w:color w:val="FFFFFF"/>
                <w:sz w:val="15"/>
              </w:rPr>
              <w:t>Layer</w:t>
            </w:r>
          </w:p>
        </w:tc>
        <w:tc>
          <w:tcPr>
            <w:tcW w:type="dxa" w:w="3389"/>
            <w:vAlign w:val="center"/>
            <w:tcMar>
              <w:top w:w="75" w:type="dxa"/>
              <w:start w:w="75" w:type="dxa"/>
              <w:bottom w:w="75" w:type="dxa"/>
              <w:end w:w="75" w:type="dxa"/>
            </w:tcMar>
            <w:shd w:fill="303039"/>
          </w:tcPr>
          <w:p>
            <w:pPr>
              <w:spacing w:after="0" w:before="0" w:line="250" w:lineRule="auto"/>
            </w:pPr>
            <w:r>
              <w:rPr>
                <w:rFonts w:ascii="Arial" w:hAnsi="Arial"/>
                <w:b/>
                <w:color w:val="FFFFFF"/>
                <w:sz w:val="15"/>
              </w:rPr>
              <w:t>Planned service</w:t>
            </w:r>
          </w:p>
        </w:tc>
        <w:tc>
          <w:tcPr>
            <w:tcW w:type="dxa" w:w="3389"/>
            <w:vAlign w:val="center"/>
            <w:tcMar>
              <w:top w:w="75" w:type="dxa"/>
              <w:start w:w="75" w:type="dxa"/>
              <w:bottom w:w="75" w:type="dxa"/>
              <w:end w:w="75" w:type="dxa"/>
            </w:tcMar>
            <w:shd w:fill="303039"/>
          </w:tcPr>
          <w:p>
            <w:pPr>
              <w:spacing w:after="0" w:before="0" w:line="250" w:lineRule="auto"/>
            </w:pPr>
            <w:r>
              <w:rPr>
                <w:rFonts w:ascii="Arial" w:hAnsi="Arial"/>
                <w:b/>
                <w:color w:val="FFFFFF"/>
                <w:sz w:val="15"/>
              </w:rPr>
              <w:t>Responsibility and design boundary</w:t>
            </w:r>
          </w:p>
        </w:tc>
      </w:tr>
      <w:tr>
        <w:trPr>
          <w:cantSplit/>
        </w:trPr>
        <w:tc>
          <w:tcPr>
            <w:tcW w:type="dxa" w:w="1512"/>
            <w:vAlign w:val="center"/>
            <w:tcMar>
              <w:top w:w="75" w:type="dxa"/>
              <w:start w:w="75" w:type="dxa"/>
              <w:bottom w:w="75" w:type="dxa"/>
              <w:end w:w="75" w:type="dxa"/>
            </w:tcMar>
            <w:shd w:fill="F5F5F7"/>
          </w:tcPr>
          <w:p>
            <w:pPr>
              <w:spacing w:after="0" w:line="250" w:lineRule="auto" w:before="0"/>
            </w:pPr>
            <w:r>
              <w:rPr>
                <w:rFonts w:ascii="Arial" w:hAnsi="Arial"/>
                <w:b/>
                <w:color w:val="18181C"/>
                <w:sz w:val="15"/>
              </w:rPr>
              <w:t>Experience</w:t>
            </w:r>
          </w:p>
        </w:tc>
        <w:tc>
          <w:tcPr>
            <w:tcW w:type="dxa" w:w="2232"/>
            <w:vAlign w:val="center"/>
            <w:tcMar>
              <w:top w:w="75" w:type="dxa"/>
              <w:start w:w="75" w:type="dxa"/>
              <w:bottom w:w="75" w:type="dxa"/>
              <w:end w:w="75" w:type="dxa"/>
            </w:tcMar>
            <w:shd w:fill="F5F5F7"/>
          </w:tcPr>
          <w:p>
            <w:pPr>
              <w:spacing w:after="0" w:line="250" w:lineRule="auto" w:before="0"/>
            </w:pPr>
            <w:r>
              <w:rPr>
                <w:rFonts w:ascii="Arial" w:hAnsi="Arial"/>
                <w:color w:val="18181C"/>
                <w:sz w:val="15"/>
              </w:rPr>
              <w:t>Customer, Business, Admin web clients</w:t>
            </w:r>
          </w:p>
        </w:tc>
        <w:tc>
          <w:tcPr>
            <w:tcW w:type="dxa" w:w="6480"/>
            <w:vAlign w:val="center"/>
            <w:tcMar>
              <w:top w:w="75" w:type="dxa"/>
              <w:start w:w="75" w:type="dxa"/>
              <w:bottom w:w="75" w:type="dxa"/>
              <w:end w:w="75" w:type="dxa"/>
            </w:tcMar>
            <w:shd w:fill="F5F5F7"/>
          </w:tcPr>
          <w:p>
            <w:pPr>
              <w:spacing w:after="0" w:line="250" w:lineRule="auto" w:before="0"/>
            </w:pPr>
            <w:r>
              <w:rPr>
                <w:rFonts w:ascii="Arial" w:hAnsi="Arial"/>
                <w:color w:val="18181C"/>
                <w:sz w:val="15"/>
              </w:rPr>
              <w:t>React/Vite, shared design system, responsive task flows; never treat client-side visibility as authorization.</w:t>
            </w:r>
          </w:p>
        </w:tc>
      </w:tr>
      <w:tr>
        <w:trPr>
          <w:cantSplit/>
        </w:trPr>
        <w:tc>
          <w:tcPr>
            <w:tcW w:type="dxa" w:w="1512"/>
            <w:vAlign w:val="center"/>
            <w:tcMar>
              <w:top w:w="75" w:type="dxa"/>
              <w:start w:w="75" w:type="dxa"/>
              <w:bottom w:w="75" w:type="dxa"/>
              <w:end w:w="75" w:type="dxa"/>
            </w:tcMar>
            <w:shd w:fill="FFFFFF"/>
          </w:tcPr>
          <w:p>
            <w:pPr>
              <w:spacing w:after="0" w:line="250" w:lineRule="auto" w:before="0"/>
            </w:pPr>
            <w:r>
              <w:rPr>
                <w:rFonts w:ascii="Arial" w:hAnsi="Arial"/>
                <w:b/>
                <w:color w:val="18181C"/>
                <w:sz w:val="15"/>
              </w:rPr>
              <w:t>Application</w:t>
            </w:r>
          </w:p>
        </w:tc>
        <w:tc>
          <w:tcPr>
            <w:tcW w:type="dxa" w:w="2232"/>
            <w:vAlign w:val="center"/>
            <w:tcMar>
              <w:top w:w="75" w:type="dxa"/>
              <w:start w:w="75" w:type="dxa"/>
              <w:bottom w:w="75" w:type="dxa"/>
              <w:end w:w="75" w:type="dxa"/>
            </w:tcMar>
            <w:shd w:fill="FFFFFF"/>
          </w:tcPr>
          <w:p>
            <w:pPr>
              <w:spacing w:after="0" w:line="250" w:lineRule="auto" w:before="0"/>
            </w:pPr>
            <w:r>
              <w:rPr>
                <w:rFonts w:ascii="Arial" w:hAnsi="Arial"/>
                <w:color w:val="18181C"/>
                <w:sz w:val="15"/>
              </w:rPr>
              <w:t>Express API on Render</w:t>
            </w:r>
          </w:p>
        </w:tc>
        <w:tc>
          <w:tcPr>
            <w:tcW w:type="dxa" w:w="6480"/>
            <w:vAlign w:val="center"/>
            <w:tcMar>
              <w:top w:w="75" w:type="dxa"/>
              <w:start w:w="75" w:type="dxa"/>
              <w:bottom w:w="75" w:type="dxa"/>
              <w:end w:w="75" w:type="dxa"/>
            </w:tcMar>
            <w:shd w:fill="FFFFFF"/>
          </w:tcPr>
          <w:p>
            <w:pPr>
              <w:spacing w:after="0" w:line="250" w:lineRule="auto" w:before="0"/>
            </w:pPr>
            <w:r>
              <w:rPr>
                <w:rFonts w:ascii="Arial" w:hAnsi="Arial"/>
                <w:color w:val="18181C"/>
                <w:sz w:val="15"/>
              </w:rPr>
              <w:t>Versioned REST endpoints, auth/authorization, domain validation, rate limits and audit context; isolate payment, media, and messaging adapters.</w:t>
            </w:r>
          </w:p>
        </w:tc>
      </w:tr>
      <w:tr>
        <w:trPr>
          <w:cantSplit/>
        </w:trPr>
        <w:tc>
          <w:tcPr>
            <w:tcW w:type="dxa" w:w="1512"/>
            <w:vAlign w:val="center"/>
            <w:tcMar>
              <w:top w:w="75" w:type="dxa"/>
              <w:start w:w="75" w:type="dxa"/>
              <w:bottom w:w="75" w:type="dxa"/>
              <w:end w:w="75" w:type="dxa"/>
            </w:tcMar>
            <w:shd w:fill="F5F5F7"/>
          </w:tcPr>
          <w:p>
            <w:pPr>
              <w:spacing w:after="0" w:line="250" w:lineRule="auto" w:before="0"/>
            </w:pPr>
            <w:r>
              <w:rPr>
                <w:rFonts w:ascii="Arial" w:hAnsi="Arial"/>
                <w:b/>
                <w:color w:val="18181C"/>
                <w:sz w:val="15"/>
              </w:rPr>
              <w:t>Durable state</w:t>
            </w:r>
          </w:p>
        </w:tc>
        <w:tc>
          <w:tcPr>
            <w:tcW w:type="dxa" w:w="2232"/>
            <w:vAlign w:val="center"/>
            <w:tcMar>
              <w:top w:w="75" w:type="dxa"/>
              <w:start w:w="75" w:type="dxa"/>
              <w:bottom w:w="75" w:type="dxa"/>
              <w:end w:w="75" w:type="dxa"/>
            </w:tcMar>
            <w:shd w:fill="F5F5F7"/>
          </w:tcPr>
          <w:p>
            <w:pPr>
              <w:spacing w:after="0" w:line="250" w:lineRule="auto" w:before="0"/>
            </w:pPr>
            <w:r>
              <w:rPr>
                <w:rFonts w:ascii="Arial" w:hAnsi="Arial"/>
                <w:color w:val="18181C"/>
                <w:sz w:val="15"/>
              </w:rPr>
              <w:t>PostgreSQL + PostGIS</w:t>
            </w:r>
          </w:p>
        </w:tc>
        <w:tc>
          <w:tcPr>
            <w:tcW w:type="dxa" w:w="6480"/>
            <w:vAlign w:val="center"/>
            <w:tcMar>
              <w:top w:w="75" w:type="dxa"/>
              <w:start w:w="75" w:type="dxa"/>
              <w:bottom w:w="75" w:type="dxa"/>
              <w:end w:w="75" w:type="dxa"/>
            </w:tcMar>
            <w:shd w:fill="F5F5F7"/>
          </w:tcPr>
          <w:p>
            <w:pPr>
              <w:spacing w:after="0" w:line="250" w:lineRule="auto" w:before="0"/>
            </w:pPr>
            <w:r>
              <w:rPr>
                <w:rFonts w:ascii="Arial" w:hAnsi="Arial"/>
                <w:color w:val="18181C"/>
                <w:sz w:val="15"/>
              </w:rPr>
              <w:t>Organizations, venues, events, offers, orders, allocations, credentials, consent, audit and reconciliation records. Database transactions protect inventory and admission invariants.</w:t>
            </w:r>
          </w:p>
        </w:tc>
      </w:tr>
      <w:tr>
        <w:trPr>
          <w:cantSplit/>
        </w:trPr>
        <w:tc>
          <w:tcPr>
            <w:tcW w:type="dxa" w:w="1512"/>
            <w:vAlign w:val="center"/>
            <w:tcMar>
              <w:top w:w="75" w:type="dxa"/>
              <w:start w:w="75" w:type="dxa"/>
              <w:bottom w:w="75" w:type="dxa"/>
              <w:end w:w="75" w:type="dxa"/>
            </w:tcMar>
            <w:shd w:fill="FFFFFF"/>
          </w:tcPr>
          <w:p>
            <w:pPr>
              <w:spacing w:after="0" w:line="250" w:lineRule="auto" w:before="0"/>
            </w:pPr>
            <w:r>
              <w:rPr>
                <w:rFonts w:ascii="Arial" w:hAnsi="Arial"/>
                <w:b/>
                <w:color w:val="18181C"/>
                <w:sz w:val="15"/>
              </w:rPr>
              <w:t>Async work</w:t>
            </w:r>
          </w:p>
        </w:tc>
        <w:tc>
          <w:tcPr>
            <w:tcW w:type="dxa" w:w="2232"/>
            <w:vAlign w:val="center"/>
            <w:tcMar>
              <w:top w:w="75" w:type="dxa"/>
              <w:start w:w="75" w:type="dxa"/>
              <w:bottom w:w="75" w:type="dxa"/>
              <w:end w:w="75" w:type="dxa"/>
            </w:tcMar>
            <w:shd w:fill="FFFFFF"/>
          </w:tcPr>
          <w:p>
            <w:pPr>
              <w:spacing w:after="0" w:line="250" w:lineRule="auto" w:before="0"/>
            </w:pPr>
            <w:r>
              <w:rPr>
                <w:rFonts w:ascii="Arial" w:hAnsi="Arial"/>
                <w:color w:val="18181C"/>
                <w:sz w:val="15"/>
              </w:rPr>
              <w:t>BullMQ workers + Upstash Redis</w:t>
            </w:r>
          </w:p>
        </w:tc>
        <w:tc>
          <w:tcPr>
            <w:tcW w:type="dxa" w:w="6480"/>
            <w:vAlign w:val="center"/>
            <w:tcMar>
              <w:top w:w="75" w:type="dxa"/>
              <w:start w:w="75" w:type="dxa"/>
              <w:bottom w:w="75" w:type="dxa"/>
              <w:end w:w="75" w:type="dxa"/>
            </w:tcMar>
            <w:shd w:fill="FFFFFF"/>
          </w:tcPr>
          <w:p>
            <w:pPr>
              <w:spacing w:after="0" w:line="250" w:lineRule="auto" w:before="0"/>
            </w:pPr>
            <w:r>
              <w:rPr>
                <w:rFonts w:ascii="Arial" w:hAnsi="Arial"/>
                <w:color w:val="18181C"/>
                <w:sz w:val="15"/>
              </w:rPr>
              <w:t>Outbox delivery, reminders, reconciliation, evidence packet preparation, and media cleanup. Worker processes run continuously; jobs are idempotent, retried with bounds, observable, and dead-lettered for review. Upstash documents BullMQ compatibility; fixed/usage economics and region/latency must be load-tested. [13,14]</w:t>
            </w:r>
          </w:p>
        </w:tc>
      </w:tr>
      <w:tr>
        <w:trPr>
          <w:cantSplit/>
        </w:trPr>
        <w:tc>
          <w:tcPr>
            <w:tcW w:type="dxa" w:w="1512"/>
            <w:vAlign w:val="center"/>
            <w:tcMar>
              <w:top w:w="75" w:type="dxa"/>
              <w:start w:w="75" w:type="dxa"/>
              <w:bottom w:w="75" w:type="dxa"/>
              <w:end w:w="75" w:type="dxa"/>
            </w:tcMar>
            <w:shd w:fill="F5F5F7"/>
          </w:tcPr>
          <w:p>
            <w:pPr>
              <w:spacing w:after="0" w:line="250" w:lineRule="auto" w:before="0"/>
            </w:pPr>
            <w:r>
              <w:rPr>
                <w:rFonts w:ascii="Arial" w:hAnsi="Arial"/>
                <w:b/>
                <w:color w:val="18181C"/>
                <w:sz w:val="15"/>
              </w:rPr>
              <w:t>Payments</w:t>
            </w:r>
          </w:p>
        </w:tc>
        <w:tc>
          <w:tcPr>
            <w:tcW w:type="dxa" w:w="2232"/>
            <w:vAlign w:val="center"/>
            <w:tcMar>
              <w:top w:w="75" w:type="dxa"/>
              <w:start w:w="75" w:type="dxa"/>
              <w:bottom w:w="75" w:type="dxa"/>
              <w:end w:w="75" w:type="dxa"/>
            </w:tcMar>
            <w:shd w:fill="F5F5F7"/>
          </w:tcPr>
          <w:p>
            <w:pPr>
              <w:spacing w:after="0" w:line="250" w:lineRule="auto" w:before="0"/>
            </w:pPr>
            <w:r>
              <w:rPr>
                <w:rFonts w:ascii="Arial" w:hAnsi="Arial"/>
                <w:color w:val="18181C"/>
                <w:sz w:val="15"/>
              </w:rPr>
              <w:t>Stripe Connect</w:t>
            </w:r>
          </w:p>
        </w:tc>
        <w:tc>
          <w:tcPr>
            <w:tcW w:type="dxa" w:w="6480"/>
            <w:vAlign w:val="center"/>
            <w:tcMar>
              <w:top w:w="75" w:type="dxa"/>
              <w:start w:w="75" w:type="dxa"/>
              <w:bottom w:w="75" w:type="dxa"/>
              <w:end w:w="75" w:type="dxa"/>
            </w:tcMar>
            <w:shd w:fill="F5F5F7"/>
          </w:tcPr>
          <w:p>
            <w:pPr>
              <w:spacing w:after="0" w:line="250" w:lineRule="auto" w:before="0"/>
            </w:pPr>
            <w:r>
              <w:rPr>
                <w:rFonts w:ascii="Arial" w:hAnsi="Arial"/>
                <w:color w:val="18181C"/>
                <w:sz w:val="15"/>
              </w:rPr>
              <w:t>Connected seller onboarding, checkout, application fee, refunds/disputes, payouts and provider balance reconciliation; selected configuration controls who pays fees and bears negative balances. [15–17]</w:t>
            </w:r>
          </w:p>
        </w:tc>
      </w:tr>
      <w:tr>
        <w:trPr>
          <w:cantSplit/>
        </w:trPr>
        <w:tc>
          <w:tcPr>
            <w:tcW w:type="dxa" w:w="1512"/>
            <w:vAlign w:val="center"/>
            <w:tcMar>
              <w:top w:w="75" w:type="dxa"/>
              <w:start w:w="75" w:type="dxa"/>
              <w:bottom w:w="75" w:type="dxa"/>
              <w:end w:w="75" w:type="dxa"/>
            </w:tcMar>
            <w:shd w:fill="FFFFFF"/>
          </w:tcPr>
          <w:p>
            <w:pPr>
              <w:spacing w:after="0" w:line="250" w:lineRule="auto" w:before="0"/>
            </w:pPr>
            <w:r>
              <w:rPr>
                <w:rFonts w:ascii="Arial" w:hAnsi="Arial"/>
                <w:b/>
                <w:color w:val="18181C"/>
                <w:sz w:val="15"/>
              </w:rPr>
              <w:t>Communications</w:t>
            </w:r>
          </w:p>
        </w:tc>
        <w:tc>
          <w:tcPr>
            <w:tcW w:type="dxa" w:w="2232"/>
            <w:vAlign w:val="center"/>
            <w:tcMar>
              <w:top w:w="75" w:type="dxa"/>
              <w:start w:w="75" w:type="dxa"/>
              <w:bottom w:w="75" w:type="dxa"/>
              <w:end w:w="75" w:type="dxa"/>
            </w:tcMar>
            <w:shd w:fill="FFFFFF"/>
          </w:tcPr>
          <w:p>
            <w:pPr>
              <w:spacing w:after="0" w:line="250" w:lineRule="auto" w:before="0"/>
            </w:pPr>
            <w:r>
              <w:rPr>
                <w:rFonts w:ascii="Arial" w:hAnsi="Arial"/>
                <w:color w:val="18181C"/>
                <w:sz w:val="15"/>
              </w:rPr>
              <w:t>Resend + Plivo</w:t>
            </w:r>
          </w:p>
        </w:tc>
        <w:tc>
          <w:tcPr>
            <w:tcW w:type="dxa" w:w="6480"/>
            <w:vAlign w:val="center"/>
            <w:tcMar>
              <w:top w:w="75" w:type="dxa"/>
              <w:start w:w="75" w:type="dxa"/>
              <w:bottom w:w="75" w:type="dxa"/>
              <w:end w:w="75" w:type="dxa"/>
            </w:tcMar>
            <w:shd w:fill="FFFFFF"/>
          </w:tcPr>
          <w:p>
            <w:pPr>
              <w:spacing w:after="0" w:line="250" w:lineRule="auto" w:before="0"/>
            </w:pPr>
            <w:r>
              <w:rPr>
                <w:rFonts w:ascii="Arial" w:hAnsi="Arial"/>
                <w:color w:val="18181C"/>
                <w:sz w:val="15"/>
              </w:rPr>
              <w:t>Resend transactional email; Plivo SMS behind verified number, channel-specific consent, opt-out/suppression, jurisdictional sender registration, templates, idempotency and delivery receipts. [18,19]</w:t>
            </w:r>
          </w:p>
        </w:tc>
      </w:tr>
      <w:tr>
        <w:trPr>
          <w:cantSplit/>
        </w:trPr>
        <w:tc>
          <w:tcPr>
            <w:tcW w:type="dxa" w:w="1512"/>
            <w:vAlign w:val="center"/>
            <w:tcMar>
              <w:top w:w="75" w:type="dxa"/>
              <w:start w:w="75" w:type="dxa"/>
              <w:bottom w:w="75" w:type="dxa"/>
              <w:end w:w="75" w:type="dxa"/>
            </w:tcMar>
            <w:shd w:fill="F5F5F7"/>
          </w:tcPr>
          <w:p>
            <w:pPr>
              <w:spacing w:after="0" w:line="250" w:lineRule="auto" w:before="0"/>
            </w:pPr>
            <w:r>
              <w:rPr>
                <w:rFonts w:ascii="Arial" w:hAnsi="Arial"/>
                <w:b/>
                <w:color w:val="18181C"/>
                <w:sz w:val="15"/>
              </w:rPr>
              <w:t>Media</w:t>
            </w:r>
          </w:p>
        </w:tc>
        <w:tc>
          <w:tcPr>
            <w:tcW w:type="dxa" w:w="2232"/>
            <w:vAlign w:val="center"/>
            <w:tcMar>
              <w:top w:w="75" w:type="dxa"/>
              <w:start w:w="75" w:type="dxa"/>
              <w:bottom w:w="75" w:type="dxa"/>
              <w:end w:w="75" w:type="dxa"/>
            </w:tcMar>
            <w:shd w:fill="F5F5F7"/>
          </w:tcPr>
          <w:p>
            <w:pPr>
              <w:spacing w:after="0" w:line="250" w:lineRule="auto" w:before="0"/>
            </w:pPr>
            <w:r>
              <w:rPr>
                <w:rFonts w:ascii="Arial" w:hAnsi="Arial"/>
                <w:color w:val="18181C"/>
                <w:sz w:val="15"/>
              </w:rPr>
              <w:t>Cloudflare R2</w:t>
            </w:r>
          </w:p>
        </w:tc>
        <w:tc>
          <w:tcPr>
            <w:tcW w:type="dxa" w:w="6480"/>
            <w:vAlign w:val="center"/>
            <w:tcMar>
              <w:top w:w="75" w:type="dxa"/>
              <w:start w:w="75" w:type="dxa"/>
              <w:bottom w:w="75" w:type="dxa"/>
              <w:end w:w="75" w:type="dxa"/>
            </w:tcMar>
            <w:shd w:fill="F5F5F7"/>
          </w:tcPr>
          <w:p>
            <w:pPr>
              <w:spacing w:after="0" w:line="250" w:lineRule="auto" w:before="0"/>
            </w:pPr>
            <w:r>
              <w:rPr>
                <w:rFonts w:ascii="Arial" w:hAnsi="Arial"/>
                <w:color w:val="18181C"/>
                <w:sz w:val="15"/>
              </w:rPr>
              <w:t>Direct browser upload via short-lived signed PUT URL; validate type/size and scan/transform as policy requires. Store durable object key and metadata in PostgreSQL, not an expiring signed URL; mint temporary read URLs or use a controlled CDN delivery path. [20,21]</w:t>
            </w:r>
          </w:p>
        </w:tc>
      </w:tr>
      <w:tr>
        <w:trPr>
          <w:cantSplit/>
        </w:trPr>
        <w:tc>
          <w:tcPr>
            <w:tcW w:type="dxa" w:w="1512"/>
            <w:vAlign w:val="center"/>
            <w:tcMar>
              <w:top w:w="75" w:type="dxa"/>
              <w:start w:w="75" w:type="dxa"/>
              <w:bottom w:w="75" w:type="dxa"/>
              <w:end w:w="75" w:type="dxa"/>
            </w:tcMar>
            <w:shd w:fill="FFFFFF"/>
          </w:tcPr>
          <w:p>
            <w:pPr>
              <w:spacing w:after="0" w:line="250" w:lineRule="auto" w:before="0"/>
            </w:pPr>
            <w:r>
              <w:rPr>
                <w:rFonts w:ascii="Arial" w:hAnsi="Arial"/>
                <w:b/>
                <w:color w:val="18181C"/>
                <w:sz w:val="15"/>
              </w:rPr>
              <w:t>Operations</w:t>
            </w:r>
          </w:p>
        </w:tc>
        <w:tc>
          <w:tcPr>
            <w:tcW w:type="dxa" w:w="2232"/>
            <w:vAlign w:val="center"/>
            <w:tcMar>
              <w:top w:w="75" w:type="dxa"/>
              <w:start w:w="75" w:type="dxa"/>
              <w:bottom w:w="75" w:type="dxa"/>
              <w:end w:w="75" w:type="dxa"/>
            </w:tcMar>
            <w:shd w:fill="FFFFFF"/>
          </w:tcPr>
          <w:p>
            <w:pPr>
              <w:spacing w:after="0" w:line="250" w:lineRule="auto" w:before="0"/>
            </w:pPr>
            <w:r>
              <w:rPr>
                <w:rFonts w:ascii="Arial" w:hAnsi="Arial"/>
                <w:color w:val="18181C"/>
                <w:sz w:val="15"/>
              </w:rPr>
              <w:t>GlitchTip + Render service telemetry</w:t>
            </w:r>
          </w:p>
        </w:tc>
        <w:tc>
          <w:tcPr>
            <w:tcW w:type="dxa" w:w="6480"/>
            <w:vAlign w:val="center"/>
            <w:tcMar>
              <w:top w:w="75" w:type="dxa"/>
              <w:start w:w="75" w:type="dxa"/>
              <w:bottom w:w="75" w:type="dxa"/>
              <w:end w:w="75" w:type="dxa"/>
            </w:tcMar>
            <w:shd w:fill="FFFFFF"/>
          </w:tcPr>
          <w:p>
            <w:pPr>
              <w:spacing w:after="0" w:line="250" w:lineRule="auto" w:before="0"/>
            </w:pPr>
            <w:r>
              <w:rPr>
                <w:rFonts w:ascii="Arial" w:hAnsi="Arial"/>
                <w:color w:val="18181C"/>
                <w:sz w:val="15"/>
              </w:rPr>
              <w:t>Sentry-compatible exception reporting and performance traces, plus application logs/health checks/alerts. GlitchTip supports compatible SDKs, performance, uptime and logs; avoid logging card data, QR secrets, or unnecessary personal data. [22,23]</w:t>
            </w:r>
          </w:p>
        </w:tc>
      </w:tr>
    </w:tbl>
    <w:p>
      <w:pPr>
        <w:widowControl/>
        <w:spacing w:after="20"/>
      </w:pPr>
    </w:p>
    <w:p>
      <w:pPr>
        <w:pStyle w:val="Heading2"/>
        <w:widowControl/>
      </w:pPr>
      <w:r>
        <w:rPr>
          <w:color w:val="000000"/>
        </w:rPr>
        <w:t>Money messaging and media are explicit seams</w:t>
      </w:r>
    </w:p>
    <w:p>
      <w:pPr>
        <w:widowControl/>
      </w:pPr>
      <w:r>
        <w:rPr>
          <w:i w:val="0"/>
        </w:rPr>
        <w:t>The target payment boundary verifies and deduplicates callbacks before changing financial state. A planned append-only ledger will reconcile charges, fees, refunds, disputes and payouts to provider records. A transactional outbox will enqueue notifications only after commit. R2 signed URLs expire and act as bearer credentials. PostgreSQL should retain stable object keys and metadata, while the API generates temporary access URLs as needed. These production integrations remain planned. [15, 20]</w:t>
      </w:r>
    </w:p>
    <w:p>
      <w:pPr>
        <w:widowControl/>
      </w:pPr>
      <w:r>
        <w:br w:type="page"/>
      </w:r>
    </w:p>
    <w:p>
      <w:pPr>
        <w:pStyle w:val="Heading1"/>
        <w:widowControl/>
      </w:pPr>
      <w:r>
        <w:rPr>
          <w:color w:val="000000"/>
        </w:rPr>
        <w:t>4  Payments compliance and operating trust</w:t>
      </w:r>
    </w:p>
    <w:p>
      <w:pPr>
        <w:pStyle w:val="Heading2"/>
        <w:widowControl/>
      </w:pPr>
      <w:r>
        <w:rPr>
          <w:color w:val="000000"/>
        </w:rPr>
        <w:t>Current approved commercial policy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6192"/>
        <w:gridCol w:w="2088"/>
      </w:tblGrid>
      <w:tr>
        <w:trPr>
          <w:tblHeader w:val="true"/>
          <w:cantSplit/>
          <w:tblHeader/>
        </w:trPr>
        <w:tc>
          <w:tcPr>
            <w:tcW w:type="dxa" w:w="3389"/>
            <w:vAlign w:val="center"/>
            <w:tcMar>
              <w:top w:w="75" w:type="dxa"/>
              <w:start w:w="75" w:type="dxa"/>
              <w:bottom w:w="75" w:type="dxa"/>
              <w:end w:w="75" w:type="dxa"/>
            </w:tcMar>
            <w:shd w:fill="303039"/>
          </w:tcPr>
          <w:p>
            <w:pPr>
              <w:spacing w:after="0" w:before="0" w:line="250" w:lineRule="auto"/>
            </w:pPr>
            <w:r>
              <w:rPr>
                <w:rFonts w:ascii="Arial" w:hAnsi="Arial"/>
                <w:b/>
                <w:color w:val="FFFFFF"/>
                <w:sz w:val="16"/>
              </w:rPr>
              <w:t>Item</w:t>
            </w:r>
          </w:p>
        </w:tc>
        <w:tc>
          <w:tcPr>
            <w:tcW w:type="dxa" w:w="3389"/>
            <w:vAlign w:val="center"/>
            <w:tcMar>
              <w:top w:w="75" w:type="dxa"/>
              <w:start w:w="75" w:type="dxa"/>
              <w:bottom w:w="75" w:type="dxa"/>
              <w:end w:w="75" w:type="dxa"/>
            </w:tcMar>
            <w:shd w:fill="303039"/>
          </w:tcPr>
          <w:p>
            <w:pPr>
              <w:spacing w:after="0" w:before="0" w:line="250" w:lineRule="auto"/>
            </w:pPr>
            <w:r>
              <w:rPr>
                <w:rFonts w:ascii="Arial" w:hAnsi="Arial"/>
                <w:b/>
                <w:color w:val="FFFFFF"/>
                <w:sz w:val="16"/>
              </w:rPr>
              <w:t>Approved policy</w:t>
            </w:r>
          </w:p>
        </w:tc>
        <w:tc>
          <w:tcPr>
            <w:tcW w:type="dxa" w:w="3389"/>
            <w:vAlign w:val="center"/>
            <w:tcMar>
              <w:top w:w="75" w:type="dxa"/>
              <w:start w:w="75" w:type="dxa"/>
              <w:bottom w:w="75" w:type="dxa"/>
              <w:end w:w="75" w:type="dxa"/>
            </w:tcMar>
            <w:shd w:fill="303039"/>
          </w:tcPr>
          <w:p>
            <w:pPr>
              <w:spacing w:after="0" w:before="0" w:line="250" w:lineRule="auto"/>
            </w:pPr>
            <w:r>
              <w:rPr>
                <w:rFonts w:ascii="Arial" w:hAnsi="Arial"/>
                <w:b/>
                <w:color w:val="FFFFFF"/>
                <w:sz w:val="16"/>
              </w:rPr>
              <w:t>Delivery status</w:t>
            </w:r>
          </w:p>
        </w:tc>
      </w:tr>
      <w:tr>
        <w:trPr>
          <w:cantSplit/>
        </w:trPr>
        <w:tc>
          <w:tcPr>
            <w:tcW w:type="dxa" w:w="1944"/>
            <w:vAlign w:val="center"/>
            <w:tcMar>
              <w:top w:w="75" w:type="dxa"/>
              <w:start w:w="75" w:type="dxa"/>
              <w:bottom w:w="75" w:type="dxa"/>
              <w:end w:w="75" w:type="dxa"/>
            </w:tcMar>
            <w:shd w:fill="F5F5F7"/>
          </w:tcPr>
          <w:p>
            <w:pPr>
              <w:spacing w:after="0" w:line="250" w:lineRule="auto" w:before="0"/>
            </w:pPr>
            <w:r>
              <w:rPr>
                <w:rFonts w:ascii="Arial" w:hAnsi="Arial"/>
                <w:b/>
                <w:color w:val="18181C"/>
                <w:sz w:val="16"/>
              </w:rPr>
              <w:t>Buyer service fee</w:t>
            </w:r>
          </w:p>
        </w:tc>
        <w:tc>
          <w:tcPr>
            <w:tcW w:type="dxa" w:w="6192"/>
            <w:vAlign w:val="center"/>
            <w:tcMar>
              <w:top w:w="75" w:type="dxa"/>
              <w:start w:w="75" w:type="dxa"/>
              <w:bottom w:w="75" w:type="dxa"/>
              <w:end w:w="75" w:type="dxa"/>
            </w:tcMar>
            <w:shd w:fill="F5F5F7"/>
          </w:tcPr>
          <w:p>
            <w:pPr>
              <w:spacing w:after="0" w:line="250" w:lineRule="auto" w:before="0"/>
            </w:pPr>
            <w:r>
              <w:rPr>
                <w:rFonts w:ascii="Arial" w:hAnsi="Arial"/>
                <w:color w:val="18181C"/>
                <w:sz w:val="16"/>
              </w:rPr>
              <w:t>Standard 8% + $0.80 per paid ticket or package unit. Competitive discounts and minimum-fee exceptions apply. Free units remain free.</w:t>
            </w:r>
          </w:p>
        </w:tc>
        <w:tc>
          <w:tcPr>
            <w:tcW w:type="dxa" w:w="2088"/>
            <w:vAlign w:val="center"/>
            <w:tcMar>
              <w:top w:w="75" w:type="dxa"/>
              <w:start w:w="75" w:type="dxa"/>
              <w:bottom w:w="75" w:type="dxa"/>
              <w:end w:w="75" w:type="dxa"/>
            </w:tcMar>
            <w:shd w:fill="F5F5F7"/>
          </w:tcPr>
          <w:p>
            <w:pPr>
              <w:spacing w:after="0" w:line="250" w:lineRule="auto" w:before="0"/>
            </w:pPr>
            <w:r>
              <w:rPr>
                <w:rFonts w:ascii="Arial" w:hAnsi="Arial"/>
                <w:color w:val="18181C"/>
                <w:sz w:val="16"/>
              </w:rPr>
              <w:t>Shared local demo engine.</w:t>
            </w:r>
          </w:p>
        </w:tc>
      </w:tr>
      <w:tr>
        <w:trPr>
          <w:cantSplit/>
        </w:trPr>
        <w:tc>
          <w:tcPr>
            <w:tcW w:type="dxa" w:w="1944"/>
            <w:vAlign w:val="center"/>
            <w:tcMar>
              <w:top w:w="75" w:type="dxa"/>
              <w:start w:w="75" w:type="dxa"/>
              <w:bottom w:w="75" w:type="dxa"/>
              <w:end w:w="75" w:type="dxa"/>
            </w:tcMar>
            <w:shd w:fill="FFFFFF"/>
          </w:tcPr>
          <w:p>
            <w:pPr>
              <w:spacing w:after="0" w:line="250" w:lineRule="auto" w:before="0"/>
            </w:pPr>
            <w:r>
              <w:rPr>
                <w:rFonts w:ascii="Arial" w:hAnsi="Arial"/>
                <w:b/>
                <w:color w:val="18181C"/>
                <w:sz w:val="16"/>
              </w:rPr>
              <w:t>Contribution floor</w:t>
            </w:r>
          </w:p>
        </w:tc>
        <w:tc>
          <w:tcPr>
            <w:tcW w:type="dxa" w:w="6192"/>
            <w:vAlign w:val="center"/>
            <w:tcMar>
              <w:top w:w="75" w:type="dxa"/>
              <w:start w:w="75" w:type="dxa"/>
              <w:bottom w:w="75" w:type="dxa"/>
              <w:end w:w="75" w:type="dxa"/>
            </w:tcMar>
            <w:shd w:fill="FFFFFF"/>
          </w:tcPr>
          <w:p>
            <w:pPr>
              <w:spacing w:after="0" w:line="250" w:lineRule="auto" w:before="0"/>
            </w:pPr>
            <w:r>
              <w:rPr>
                <w:rFonts w:ascii="Arial" w:hAnsi="Arial"/>
                <w:color w:val="18181C"/>
                <w:sz w:val="16"/>
              </w:rPr>
              <w:t>Hard $1 per paid order after modeled costs. 5% of face value is preferred, not required. The floor overrides standard and competitor targets.</w:t>
            </w:r>
          </w:p>
        </w:tc>
        <w:tc>
          <w:tcPr>
            <w:tcW w:type="dxa" w:w="2088"/>
            <w:vAlign w:val="center"/>
            <w:tcMar>
              <w:top w:w="75" w:type="dxa"/>
              <w:start w:w="75" w:type="dxa"/>
              <w:bottom w:w="75" w:type="dxa"/>
              <w:end w:w="75" w:type="dxa"/>
            </w:tcMar>
            <w:shd w:fill="FFFFFF"/>
          </w:tcPr>
          <w:p>
            <w:pPr>
              <w:spacing w:after="0" w:line="250" w:lineRule="auto" w:before="0"/>
            </w:pPr>
            <w:r>
              <w:rPr>
                <w:rFonts w:ascii="Arial" w:hAnsi="Arial"/>
                <w:color w:val="18181C"/>
                <w:sz w:val="16"/>
              </w:rPr>
              <w:t>Implemented in demo. Actual cost validation pending.</w:t>
            </w:r>
          </w:p>
        </w:tc>
      </w:tr>
      <w:tr>
        <w:trPr>
          <w:cantSplit/>
        </w:trPr>
        <w:tc>
          <w:tcPr>
            <w:tcW w:type="dxa" w:w="1944"/>
            <w:vAlign w:val="center"/>
            <w:tcMar>
              <w:top w:w="75" w:type="dxa"/>
              <w:start w:w="75" w:type="dxa"/>
              <w:bottom w:w="75" w:type="dxa"/>
              <w:end w:w="75" w:type="dxa"/>
            </w:tcMar>
            <w:shd w:fill="F5F5F7"/>
          </w:tcPr>
          <w:p>
            <w:pPr>
              <w:spacing w:after="0" w:line="250" w:lineRule="auto" w:before="0"/>
            </w:pPr>
            <w:r>
              <w:rPr>
                <w:rFonts w:ascii="Arial" w:hAnsi="Arial"/>
                <w:b/>
                <w:color w:val="18181C"/>
                <w:sz w:val="16"/>
              </w:rPr>
              <w:t>Processing and plans</w:t>
            </w:r>
          </w:p>
        </w:tc>
        <w:tc>
          <w:tcPr>
            <w:tcW w:type="dxa" w:w="6192"/>
            <w:vAlign w:val="center"/>
            <w:tcMar>
              <w:top w:w="75" w:type="dxa"/>
              <w:start w:w="75" w:type="dxa"/>
              <w:bottom w:w="75" w:type="dxa"/>
              <w:end w:w="75" w:type="dxa"/>
            </w:tcMar>
            <w:shd w:fill="F5F5F7"/>
          </w:tcPr>
          <w:p>
            <w:pPr>
              <w:spacing w:after="0" w:line="250" w:lineRule="auto" w:before="0"/>
            </w:pPr>
            <w:r>
              <w:rPr>
                <w:rFonts w:ascii="Arial" w:hAnsi="Arial"/>
                <w:color w:val="18181C"/>
                <w:sz w:val="16"/>
              </w:rPr>
              <w:t>Nitewide pays routine processing. Free core use has no listing or organizer transaction fee. Premium is optional at $249/month with the same checkout fee policy.</w:t>
            </w:r>
          </w:p>
        </w:tc>
        <w:tc>
          <w:tcPr>
            <w:tcW w:type="dxa" w:w="2088"/>
            <w:vAlign w:val="center"/>
            <w:tcMar>
              <w:top w:w="75" w:type="dxa"/>
              <w:start w:w="75" w:type="dxa"/>
              <w:bottom w:w="75" w:type="dxa"/>
              <w:end w:w="75" w:type="dxa"/>
            </w:tcMar>
            <w:shd w:fill="F5F5F7"/>
          </w:tcPr>
          <w:p>
            <w:pPr>
              <w:spacing w:after="0" w:line="250" w:lineRule="auto" w:before="0"/>
            </w:pPr>
            <w:r>
              <w:rPr>
                <w:rFonts w:ascii="Arial" w:hAnsi="Arial"/>
                <w:color w:val="18181C"/>
                <w:sz w:val="16"/>
              </w:rPr>
              <w:t>Live processing and Premium billing planned.</w:t>
            </w:r>
          </w:p>
        </w:tc>
      </w:tr>
      <w:tr>
        <w:trPr>
          <w:cantSplit/>
        </w:trPr>
        <w:tc>
          <w:tcPr>
            <w:tcW w:type="dxa" w:w="1944"/>
            <w:vAlign w:val="center"/>
            <w:tcMar>
              <w:top w:w="75" w:type="dxa"/>
              <w:start w:w="75" w:type="dxa"/>
              <w:bottom w:w="75" w:type="dxa"/>
              <w:end w:w="75" w:type="dxa"/>
            </w:tcMar>
            <w:shd w:fill="FFFFFF"/>
          </w:tcPr>
          <w:p>
            <w:pPr>
              <w:spacing w:after="0" w:line="250" w:lineRule="auto" w:before="0"/>
            </w:pPr>
            <w:r>
              <w:rPr>
                <w:rFonts w:ascii="Arial" w:hAnsi="Arial"/>
                <w:b/>
                <w:color w:val="18181C"/>
                <w:sz w:val="16"/>
              </w:rPr>
              <w:t>Promoter rewards</w:t>
            </w:r>
          </w:p>
        </w:tc>
        <w:tc>
          <w:tcPr>
            <w:tcW w:type="dxa" w:w="6192"/>
            <w:vAlign w:val="center"/>
            <w:tcMar>
              <w:top w:w="75" w:type="dxa"/>
              <w:start w:w="75" w:type="dxa"/>
              <w:bottom w:w="75" w:type="dxa"/>
              <w:end w:w="75" w:type="dxa"/>
            </w:tcMar>
            <w:shd w:fill="FFFFFF"/>
          </w:tcPr>
          <w:p>
            <w:pPr>
              <w:spacing w:after="0" w:line="250" w:lineRule="auto" w:before="0"/>
            </w:pPr>
            <w:r>
              <w:rPr>
                <w:rFonts w:ascii="Arial" w:hAnsi="Arial"/>
                <w:color w:val="18181C"/>
                <w:sz w:val="16"/>
              </w:rPr>
              <w:t>Organizer-funded individual commissions remain separate. Planned Nitewide reward fee: 10% of the gross reward, not ticket value.</w:t>
            </w:r>
          </w:p>
        </w:tc>
        <w:tc>
          <w:tcPr>
            <w:tcW w:type="dxa" w:w="2088"/>
            <w:vAlign w:val="center"/>
            <w:tcMar>
              <w:top w:w="75" w:type="dxa"/>
              <w:start w:w="75" w:type="dxa"/>
              <w:bottom w:w="75" w:type="dxa"/>
              <w:end w:w="75" w:type="dxa"/>
            </w:tcMar>
            <w:shd w:fill="FFFFFF"/>
          </w:tcPr>
          <w:p>
            <w:pPr>
              <w:spacing w:after="0" w:line="250" w:lineRule="auto" w:before="0"/>
            </w:pPr>
            <w:r>
              <w:rPr>
                <w:rFonts w:ascii="Arial" w:hAnsi="Arial"/>
                <w:color w:val="18181C"/>
                <w:sz w:val="16"/>
              </w:rPr>
              <w:t>Reward fee and payouts planned.</w:t>
            </w:r>
          </w:p>
        </w:tc>
      </w:tr>
    </w:tbl>
    <w:p>
      <w:pPr>
        <w:widowControl/>
        <w:spacing w:after="20"/>
      </w:pPr>
    </w:p>
    <w:p>
      <w:pPr>
        <w:widowControl/>
      </w:pPr>
      <w:r>
        <w:rPr>
          <w:i w:val="0"/>
        </w:rPr>
        <w:t>The engine starts with the lower of standard pricing and 98% of the lower modeled total buyer fee from Posh or Eventbrite. It includes Eventbrite processing. If modeled contribution falls below $1, it raises the service fee to the smallest qualifying cent. A valid purchase is not rejected solely for missing a margin or discount target. The 2% reduction targets fees, not the full checkout. Expired benchmarks fall back to standard pricing plus the floor, without a savings claim. [2]</w:t>
      </w:r>
    </w:p>
    <w:p>
      <w:pPr>
        <w:pStyle w:val="Heading2"/>
      </w:pPr>
      <w:r>
        <w:rPr>
          <w:color w:val="000000"/>
        </w:rPr>
        <w:t>Purchase economics</w:t>
      </w:r>
    </w:p>
    <w:p>
      <w:pPr/>
      <w:r>
        <w:t>USD before taxes, using modeled domestic-card Stripe costs of 2.9% + $0.30 on the full charge. Venue proceeds assume no commissions or other venue obligations. One VIP package counts as one paid unit regardless of admissions. [2, 24]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224"/>
        <w:gridCol w:w="1368"/>
        <w:gridCol w:w="1512"/>
        <w:gridCol w:w="1296"/>
        <w:gridCol w:w="2520"/>
      </w:tblGrid>
      <w:tr>
        <w:trPr>
          <w:cantSplit/>
          <w:tblHeader/>
        </w:trPr>
        <w:tc>
          <w:tcPr>
            <w:tcW w:type="dxa" w:w="1771"/>
            <w:vAlign w:val="center"/>
            <w:shd w:fill="303039"/>
            <w:tcMar>
              <w:top w:w="75" w:type="dxa"/>
              <w:bottom w:w="75" w:type="dxa"/>
              <w:start w:w="75" w:type="dxa"/>
              <w:end w:w="75" w:type="dxa"/>
            </w:tcMar>
          </w:tcPr>
          <w:p>
            <w:pPr>
              <w:spacing w:after="0" w:before="0" w:line="250" w:lineRule="auto"/>
              <w:jc w:val="left"/>
            </w:pPr>
            <w:r>
              <w:rPr>
                <w:rFonts w:ascii="Arial" w:hAnsi="Arial"/>
                <w:b/>
                <w:color w:val="FFFFFF"/>
                <w:sz w:val="19"/>
              </w:rPr>
              <w:t>Basket</w:t>
            </w:r>
          </w:p>
        </w:tc>
        <w:tc>
          <w:tcPr>
            <w:tcW w:type="dxa" w:w="1224"/>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9"/>
              </w:rPr>
              <w:t>Buyer fee</w:t>
            </w:r>
          </w:p>
        </w:tc>
        <w:tc>
          <w:tcPr>
            <w:tcW w:type="dxa" w:w="1368"/>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9"/>
              </w:rPr>
              <w:t>Checkout</w:t>
            </w:r>
          </w:p>
        </w:tc>
        <w:tc>
          <w:tcPr>
            <w:tcW w:type="dxa" w:w="1512"/>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9"/>
              </w:rPr>
              <w:t>Venue proceeds</w:t>
            </w:r>
          </w:p>
        </w:tc>
        <w:tc>
          <w:tcPr>
            <w:tcW w:type="dxa" w:w="1296"/>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9"/>
              </w:rPr>
              <w:t>Stripe cost</w:t>
            </w:r>
          </w:p>
        </w:tc>
        <w:tc>
          <w:tcPr>
            <w:tcW w:type="dxa" w:w="2520"/>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9"/>
              </w:rPr>
              <w:t>Nitewide contribution</w:t>
            </w:r>
          </w:p>
        </w:tc>
      </w:tr>
      <w:tr>
        <w:trPr>
          <w:cantSplit/>
        </w:trPr>
        <w:tc>
          <w:tcPr>
            <w:tcW w:type="dxa" w:w="1771"/>
            <w:vAlign w:val="center"/>
            <w:shd w:fill="F5F5F7"/>
            <w:tcMar>
              <w:top w:w="75" w:type="dxa"/>
              <w:bottom w:w="75" w:type="dxa"/>
              <w:start w:w="75" w:type="dxa"/>
              <w:end w:w="75" w:type="dxa"/>
            </w:tcMar>
          </w:tcPr>
          <w:p>
            <w:pPr>
              <w:spacing w:after="0" w:before="0" w:line="250" w:lineRule="auto"/>
              <w:jc w:val="left"/>
            </w:pPr>
            <w:r>
              <w:rPr>
                <w:rFonts w:ascii="Arial" w:hAnsi="Arial"/>
                <w:color w:val="18181C"/>
                <w:sz w:val="19"/>
              </w:rPr>
              <w:t>1 × $1</w:t>
            </w:r>
          </w:p>
        </w:tc>
        <w:tc>
          <w:tcPr>
            <w:tcW w:type="dxa" w:w="122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$1.37</w:t>
            </w:r>
          </w:p>
        </w:tc>
        <w:tc>
          <w:tcPr>
            <w:tcW w:type="dxa" w:w="1368"/>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$2.37</w:t>
            </w:r>
          </w:p>
        </w:tc>
        <w:tc>
          <w:tcPr>
            <w:tcW w:type="dxa" w:w="1512"/>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$1.00</w:t>
            </w:r>
          </w:p>
        </w:tc>
        <w:tc>
          <w:tcPr>
            <w:tcW w:type="dxa" w:w="1296"/>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$0.37</w:t>
            </w:r>
          </w:p>
        </w:tc>
        <w:tc>
          <w:tcPr>
            <w:tcW w:type="dxa" w:w="2520"/>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$1.00</w:t>
            </w:r>
          </w:p>
        </w:tc>
      </w:tr>
      <w:tr>
        <w:trPr>
          <w:cantSplit/>
        </w:trPr>
        <w:tc>
          <w:tcPr>
            <w:tcW w:type="dxa" w:w="1771"/>
            <w:vAlign w:val="center"/>
            <w:shd w:fill="FFFFFF"/>
            <w:tcMar>
              <w:top w:w="75" w:type="dxa"/>
              <w:bottom w:w="75" w:type="dxa"/>
              <w:start w:w="75" w:type="dxa"/>
              <w:end w:w="75" w:type="dxa"/>
            </w:tcMar>
          </w:tcPr>
          <w:p>
            <w:pPr>
              <w:spacing w:after="0" w:before="0" w:line="250" w:lineRule="auto"/>
              <w:jc w:val="left"/>
            </w:pPr>
            <w:r>
              <w:rPr>
                <w:rFonts w:ascii="Arial" w:hAnsi="Arial"/>
                <w:color w:val="18181C"/>
                <w:sz w:val="19"/>
              </w:rPr>
              <w:t>1 × $10</w:t>
            </w:r>
          </w:p>
        </w:tc>
        <w:tc>
          <w:tcPr>
            <w:tcW w:type="dxa" w:w="122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$1.64</w:t>
            </w:r>
          </w:p>
        </w:tc>
        <w:tc>
          <w:tcPr>
            <w:tcW w:type="dxa" w:w="1368"/>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$11.64</w:t>
            </w:r>
          </w:p>
        </w:tc>
        <w:tc>
          <w:tcPr>
            <w:tcW w:type="dxa" w:w="1512"/>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$10.00</w:t>
            </w:r>
          </w:p>
        </w:tc>
        <w:tc>
          <w:tcPr>
            <w:tcW w:type="dxa" w:w="1296"/>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$0.64</w:t>
            </w:r>
          </w:p>
        </w:tc>
        <w:tc>
          <w:tcPr>
            <w:tcW w:type="dxa" w:w="2520"/>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$1.00</w:t>
            </w:r>
          </w:p>
        </w:tc>
      </w:tr>
      <w:tr>
        <w:trPr>
          <w:cantSplit/>
        </w:trPr>
        <w:tc>
          <w:tcPr>
            <w:tcW w:type="dxa" w:w="1771"/>
            <w:vAlign w:val="center"/>
            <w:shd w:fill="F5F5F7"/>
            <w:tcMar>
              <w:top w:w="75" w:type="dxa"/>
              <w:bottom w:w="75" w:type="dxa"/>
              <w:start w:w="75" w:type="dxa"/>
              <w:end w:w="75" w:type="dxa"/>
            </w:tcMar>
          </w:tcPr>
          <w:p>
            <w:pPr>
              <w:spacing w:after="0" w:before="0" w:line="250" w:lineRule="auto"/>
              <w:jc w:val="left"/>
            </w:pPr>
            <w:r>
              <w:rPr>
                <w:rFonts w:ascii="Arial" w:hAnsi="Arial"/>
                <w:color w:val="18181C"/>
                <w:sz w:val="19"/>
              </w:rPr>
              <w:t>3 × $25</w:t>
            </w:r>
          </w:p>
        </w:tc>
        <w:tc>
          <w:tcPr>
            <w:tcW w:type="dxa" w:w="122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$8.40</w:t>
            </w:r>
          </w:p>
        </w:tc>
        <w:tc>
          <w:tcPr>
            <w:tcW w:type="dxa" w:w="1368"/>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$83.40</w:t>
            </w:r>
          </w:p>
        </w:tc>
        <w:tc>
          <w:tcPr>
            <w:tcW w:type="dxa" w:w="1512"/>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$75.00</w:t>
            </w:r>
          </w:p>
        </w:tc>
        <w:tc>
          <w:tcPr>
            <w:tcW w:type="dxa" w:w="1296"/>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$2.72</w:t>
            </w:r>
          </w:p>
        </w:tc>
        <w:tc>
          <w:tcPr>
            <w:tcW w:type="dxa" w:w="2520"/>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9"/>
              </w:rPr>
              <w:t>$5.68</w:t>
            </w:r>
          </w:p>
        </w:tc>
      </w:tr>
      <w:tr>
        <w:trPr>
          <w:cantSplit/>
        </w:trPr>
        <w:tc>
          <w:tcPr>
            <w:tcW w:type="dxa" w:w="1771"/>
            <w:vAlign w:val="center"/>
            <w:shd w:fill="FFFFFF"/>
            <w:tcMar>
              <w:top w:w="75" w:type="dxa"/>
              <w:bottom w:w="75" w:type="dxa"/>
              <w:start w:w="75" w:type="dxa"/>
              <w:end w:w="75" w:type="dxa"/>
            </w:tcMar>
          </w:tcPr>
          <w:p>
            <w:pPr>
              <w:spacing w:after="0" w:before="0" w:line="250" w:lineRule="auto"/>
              <w:jc w:val="left"/>
            </w:pPr>
            <w:r>
              <w:rPr>
                <w:rFonts w:ascii="Arial" w:hAnsi="Arial"/>
                <w:color w:val="18181C"/>
                <w:sz w:val="19"/>
              </w:rPr>
              <w:t>1 × $300 VIP</w:t>
            </w:r>
          </w:p>
        </w:tc>
        <w:tc>
          <w:tcPr>
            <w:tcW w:type="dxa" w:w="122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$21.52</w:t>
            </w:r>
          </w:p>
        </w:tc>
        <w:tc>
          <w:tcPr>
            <w:tcW w:type="dxa" w:w="1368"/>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$321.52</w:t>
            </w:r>
          </w:p>
        </w:tc>
        <w:tc>
          <w:tcPr>
            <w:tcW w:type="dxa" w:w="1512"/>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$300.00</w:t>
            </w:r>
          </w:p>
        </w:tc>
        <w:tc>
          <w:tcPr>
            <w:tcW w:type="dxa" w:w="1296"/>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$9.62</w:t>
            </w:r>
          </w:p>
        </w:tc>
        <w:tc>
          <w:tcPr>
            <w:tcW w:type="dxa" w:w="2520"/>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9"/>
              </w:rPr>
              <w:t>$11.90</w:t>
            </w:r>
          </w:p>
        </w:tc>
      </w:tr>
    </w:tbl>
    <w:p>
      <w:pPr>
        <w:spacing w:before="140"/>
      </w:pPr>
      <w:r>
        <w:t>Contribution is service fee less configured transaction costs, not net profit. These demo examples assume zero additional Connect/payout costs and reserves. Fraud, refunds, disputes and operating costs can reduce realized results. The $1 ticket exceeds both the standard fee and Posh’s modeled fee to protect the floor. Neither universal lowest pricing nor guaranteed actual profit is claimed.</w:t>
      </w:r>
    </w:p>
    <w:p>
      <w:pPr>
        <w:pStyle w:val="Heading2"/>
      </w:pPr>
      <w:r>
        <w:rPr>
          <w:color w:val="000000"/>
        </w:rPr>
        <w:t>Disclosure and financial privacy</w:t>
      </w:r>
    </w:p>
    <w:p>
      <w:pPr/>
      <w:r>
        <w:t>Checkout shows the exact fee and final total before confirmation, including a minimum-service-fee notice when relevant. Public pricing and calculators disclose exceptions and show higher comparative costs honestly. The $1 floor, 5% preferred target and platform contribution belong in admin, internal and investor materials, not customer or business dashboards. Business reports show face-value sales and authorized commissions.</w:t>
      </w:r>
    </w:p>
    <w:p>
      <w:pPr>
        <w:pStyle w:val="Heading1"/>
        <w:pageBreakBefore/>
        <w:widowControl/>
      </w:pPr>
      <w:r>
        <w:rPr>
          <w:color w:val="000000"/>
        </w:rPr>
        <w:t>Payment architecture and operating trust</w:t>
      </w:r>
    </w:p>
    <w:p>
      <w:pPr>
        <w:widowControl/>
      </w:pPr>
      <w:r>
        <w:rPr>
          <w:i w:val="0"/>
        </w:rPr>
        <w:t>The host, venue or independent creator is intended to be the seller and Merchant of Record for its event. Funding processing costs does not by itself determine that role. Stripe account configuration, seller agreements, descriptors, refund support, taxes and negative-balance responsibility must agree. Direct charges and platform charge models allocate responsibilities differently. A prior organizer-paid direct-charge proposal is not a finalized design for Nitewide-paid processing. Counsel and Stripe must approve the configuration before launch. [15–17, 25]</w:t>
      </w:r>
    </w:p>
    <w:p>
      <w:pPr>
        <w:pStyle w:val="Heading2"/>
        <w:widowControl/>
      </w:pPr>
      <w:r>
        <w:rPr>
          <w:color w:val="000000"/>
        </w:rPr>
        <w:t>Required production controls</w:t>
      </w:r>
    </w:p>
    <w:p>
      <w:pPr>
        <w:pStyle w:val="ListBullet"/>
        <w:widowControl/>
        <w:spacing w:after="40" w:line="250" w:lineRule="auto"/>
      </w:pPr>
      <w:r>
        <w:t>KYC/KYB and payout onboarding use Stripe-hosted or embedded components where available; monitor requirement changes and prevent sales/payouts when account status requires it.</w:t>
      </w:r>
    </w:p>
    <w:p>
      <w:pPr>
        <w:pStyle w:val="ListBullet"/>
        <w:widowControl/>
        <w:spacing w:after="40" w:line="250" w:lineRule="auto"/>
      </w:pPr>
      <w:r>
        <w:t>Idempotency keys, signed webhook verification, immutable order/fee snapshots, daily settlement reconciliation, payout holds, and explicit refund/dispute states protect money movement.</w:t>
      </w:r>
    </w:p>
    <w:p>
      <w:pPr>
        <w:pStyle w:val="ListBullet"/>
        <w:widowControl/>
        <w:spacing w:after="40" w:line="250" w:lineRule="auto"/>
      </w:pPr>
      <w:r>
        <w:t>QR admission proves credential issuance and scan history, not cardholder authorization; evidence packets combine payment, accepted terms, fulfillment, credential lifecycle and communications for human-reviewed dispute submissions.</w:t>
      </w:r>
    </w:p>
    <w:p>
      <w:pPr>
        <w:pStyle w:val="ListBullet"/>
        <w:widowControl/>
        <w:spacing w:after="40" w:line="250" w:lineRule="auto"/>
      </w:pPr>
      <w:r>
        <w:t>SMS/email consent is channel-specific. Invitation contact data is not marketing consent. STOP/opt-out, suppression, sender registration, retention and quiet-hour policies are launch gates.</w:t>
      </w:r>
    </w:p>
    <w:p>
      <w:pPr>
        <w:pStyle w:val="ListBullet"/>
        <w:widowControl/>
        <w:spacing w:after="40" w:line="250" w:lineRule="auto"/>
      </w:pPr>
      <w:r>
        <w:t>Risk monitoring includes fraudulent purchase signals, promoter abuse, allocation manipulation, ticket resale/transfer, failed payouts, chargeback ratios, incident response and account takeover.</w:t>
      </w:r>
    </w:p>
    <w:p>
      <w:pPr>
        <w:pStyle w:val="Heading2"/>
      </w:pPr>
      <w:r>
        <w:rPr>
          <w:color w:val="000000"/>
        </w:rPr>
        <w:t>Pricing integrity and release evidence</w:t>
      </w:r>
    </w:p>
    <w:p>
      <w:pPr/>
      <w:r>
        <w:t>The API recalculates from server-priced offerings before writing an order. An expected-total mismatch requires the customer to review the new price. Internal snapshots preserve the fee policy and cost assumptions, while public order serialization excludes contribution and reserves. Historical paid orders and idempotent replays retain their original terms. The same pricing package supplies customer previews and the public calculator. [2]</w:t>
      </w:r>
    </w:p>
    <w:p>
      <w:pPr/>
      <w:r>
        <w:t>Before live release, verification must cover mixed/free baskets, cent rounding, minimum-fee overrides, stale benchmarks, concurrent inventory changes, role-scoped serialization and historical replay. Live settlement tests must additionally reconcile provider costs, partial refunds, failed payouts and disputes. The approved policy removes margin-based rejection; it does not bypass invalid data, unsupported currencies, fraud controls or payment authorization failures.</w:t>
      </w:r>
    </w:p>
    <w:p>
      <w:pPr>
        <w:widowControl/>
      </w:pPr>
      <w:r>
        <w:br w:type="page"/>
      </w:r>
    </w:p>
    <w:p>
      <w:pPr>
        <w:pStyle w:val="Heading1"/>
        <w:widowControl/>
      </w:pPr>
      <w:r>
        <w:rPr>
          <w:color w:val="000000"/>
        </w:rPr>
        <w:t>5  Competitive landscape and positioning</w:t>
      </w:r>
    </w:p>
    <w:p>
      <w:pPr>
        <w:widowControl/>
      </w:pPr>
      <w:r>
        <w:rPr>
          <w:i w:val="0"/>
        </w:rPr>
        <w:t>The matrix matches the investor deck. For Nitewide, Yes means a working local demo and In dev means planned or in progress. A dash means no equivalent verified in cited public materials, not proven absence. General, Tracking and Checkout identify narrower documented capabilities. Production readiness and exact implementation parity are not implied. [5–10, 27–29]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094"/>
        <w:gridCol w:w="936"/>
        <w:gridCol w:w="1195"/>
        <w:gridCol w:w="1195"/>
        <w:gridCol w:w="1354"/>
        <w:gridCol w:w="1037"/>
      </w:tblGrid>
      <w:tr>
        <w:trPr>
          <w:cantSplit/>
          <w:tblHeader/>
        </w:trPr>
        <w:tc>
          <w:tcPr>
            <w:tcW w:type="dxa" w:w="3312"/>
            <w:vAlign w:val="center"/>
            <w:shd w:fill="303039"/>
            <w:tcMar>
              <w:top w:w="75" w:type="dxa"/>
              <w:bottom w:w="75" w:type="dxa"/>
              <w:start w:w="75" w:type="dxa"/>
              <w:end w:w="75" w:type="dxa"/>
            </w:tcMar>
          </w:tcPr>
          <w:p>
            <w:pPr>
              <w:spacing w:after="0" w:before="0" w:line="250" w:lineRule="auto"/>
              <w:jc w:val="left"/>
            </w:pPr>
            <w:r>
              <w:rPr>
                <w:rFonts w:ascii="Arial" w:hAnsi="Arial"/>
                <w:b/>
                <w:color w:val="FFFFFF"/>
                <w:sz w:val="17"/>
              </w:rPr>
              <w:t>Capability</w:t>
            </w:r>
          </w:p>
        </w:tc>
        <w:tc>
          <w:tcPr>
            <w:tcW w:type="dxa" w:w="1094"/>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7"/>
              </w:rPr>
              <w:t>Nitewide</w:t>
            </w:r>
          </w:p>
        </w:tc>
        <w:tc>
          <w:tcPr>
            <w:tcW w:type="dxa" w:w="936"/>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7"/>
              </w:rPr>
              <w:t>Posh</w:t>
            </w:r>
          </w:p>
        </w:tc>
        <w:tc>
          <w:tcPr>
            <w:tcW w:type="dxa" w:w="1195"/>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7"/>
              </w:rPr>
              <w:t>Discotech</w:t>
            </w:r>
          </w:p>
        </w:tc>
        <w:tc>
          <w:tcPr>
            <w:tcW w:type="dxa" w:w="1195"/>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7"/>
              </w:rPr>
              <w:t>Eventbrite</w:t>
            </w:r>
          </w:p>
        </w:tc>
        <w:tc>
          <w:tcPr>
            <w:tcW w:type="dxa" w:w="1354"/>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7"/>
              </w:rPr>
              <w:t>Sections.app</w:t>
            </w:r>
          </w:p>
        </w:tc>
        <w:tc>
          <w:tcPr>
            <w:tcW w:type="dxa" w:w="1037"/>
            <w:vAlign w:val="center"/>
            <w:shd w:fill="303039"/>
            <w:tcMar>
              <w:top w:w="75" w:type="dxa"/>
              <w:bottom w:w="75" w:type="dxa"/>
              <w:start w:w="75" w:type="dxa"/>
              <w:end w:w="75" w:type="dxa"/>
            </w:tcMar>
          </w:tcPr>
          <w:p>
            <w:pPr>
              <w:spacing w:after="0" w:before="0" w:line="250" w:lineRule="auto"/>
              <w:jc w:val="center"/>
            </w:pPr>
            <w:r>
              <w:rPr>
                <w:rFonts w:ascii="Arial" w:hAnsi="Arial"/>
                <w:b/>
                <w:color w:val="FFFFFF"/>
                <w:sz w:val="17"/>
              </w:rPr>
              <w:t>Tabler</w:t>
            </w:r>
          </w:p>
        </w:tc>
      </w:tr>
      <w:tr>
        <w:trPr>
          <w:cantSplit/>
        </w:trPr>
        <w:tc>
          <w:tcPr>
            <w:tcW w:type="dxa" w:w="3312"/>
            <w:vAlign w:val="center"/>
            <w:shd w:fill="F5F5F7"/>
            <w:tcMar>
              <w:top w:w="75" w:type="dxa"/>
              <w:bottom w:w="75" w:type="dxa"/>
              <w:start w:w="75" w:type="dxa"/>
              <w:end w:w="75" w:type="dxa"/>
            </w:tcMar>
          </w:tcPr>
          <w:p>
            <w:pPr>
              <w:spacing w:after="0" w:before="0" w:line="250" w:lineRule="auto"/>
              <w:jc w:val="left"/>
            </w:pPr>
            <w:r>
              <w:rPr>
                <w:rFonts w:ascii="Arial" w:hAnsi="Arial"/>
                <w:color w:val="18181C"/>
                <w:sz w:val="17"/>
              </w:rPr>
              <w:t>Nightlife discovery and booking</w:t>
            </w:r>
          </w:p>
        </w:tc>
        <w:tc>
          <w:tcPr>
            <w:tcW w:type="dxa" w:w="109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35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037"/>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r>
      <w:tr>
        <w:trPr>
          <w:cantSplit/>
        </w:trPr>
        <w:tc>
          <w:tcPr>
            <w:tcW w:type="dxa" w:w="3312"/>
            <w:vAlign w:val="center"/>
            <w:shd w:fill="FFFFFF"/>
            <w:tcMar>
              <w:top w:w="75" w:type="dxa"/>
              <w:bottom w:w="75" w:type="dxa"/>
              <w:start w:w="75" w:type="dxa"/>
              <w:end w:w="75" w:type="dxa"/>
            </w:tcMar>
          </w:tcPr>
          <w:p>
            <w:pPr>
              <w:spacing w:after="0" w:before="0" w:line="250" w:lineRule="auto"/>
              <w:jc w:val="left"/>
            </w:pPr>
            <w:r>
              <w:rPr>
                <w:rFonts w:ascii="Arial" w:hAnsi="Arial"/>
                <w:color w:val="18181C"/>
                <w:sz w:val="17"/>
              </w:rPr>
              <w:t>Ticket tiers and timed offers</w:t>
            </w:r>
          </w:p>
        </w:tc>
        <w:tc>
          <w:tcPr>
            <w:tcW w:type="dxa" w:w="109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35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037"/>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r>
      <w:tr>
        <w:trPr>
          <w:cantSplit/>
        </w:trPr>
        <w:tc>
          <w:tcPr>
            <w:tcW w:type="dxa" w:w="3312"/>
            <w:vAlign w:val="center"/>
            <w:shd w:fill="F5F5F7"/>
            <w:tcMar>
              <w:top w:w="75" w:type="dxa"/>
              <w:bottom w:w="75" w:type="dxa"/>
              <w:start w:w="75" w:type="dxa"/>
              <w:end w:w="75" w:type="dxa"/>
            </w:tcMar>
          </w:tcPr>
          <w:p>
            <w:pPr>
              <w:spacing w:after="0" w:before="0" w:line="250" w:lineRule="auto"/>
              <w:jc w:val="left"/>
            </w:pPr>
            <w:r>
              <w:rPr>
                <w:rFonts w:ascii="Arial" w:hAnsi="Arial"/>
                <w:color w:val="18181C"/>
                <w:sz w:val="17"/>
              </w:rPr>
              <w:t>Guestlists and capacity</w:t>
            </w:r>
          </w:p>
        </w:tc>
        <w:tc>
          <w:tcPr>
            <w:tcW w:type="dxa" w:w="109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General</w:t>
            </w:r>
          </w:p>
        </w:tc>
        <w:tc>
          <w:tcPr>
            <w:tcW w:type="dxa" w:w="135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037"/>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r>
      <w:tr>
        <w:trPr>
          <w:cantSplit/>
        </w:trPr>
        <w:tc>
          <w:tcPr>
            <w:tcW w:type="dxa" w:w="3312"/>
            <w:vAlign w:val="center"/>
            <w:shd w:fill="FFFFFF"/>
            <w:tcMar>
              <w:top w:w="75" w:type="dxa"/>
              <w:bottom w:w="75" w:type="dxa"/>
              <w:start w:w="75" w:type="dxa"/>
              <w:end w:w="75" w:type="dxa"/>
            </w:tcMar>
          </w:tcPr>
          <w:p>
            <w:pPr>
              <w:spacing w:after="0" w:before="0" w:line="250" w:lineRule="auto"/>
              <w:jc w:val="left"/>
            </w:pPr>
            <w:r>
              <w:rPr>
                <w:rFonts w:ascii="Arial" w:hAnsi="Arial"/>
                <w:color w:val="18181C"/>
                <w:sz w:val="17"/>
              </w:rPr>
              <w:t>Promoter attribution and commissions</w:t>
            </w:r>
          </w:p>
        </w:tc>
        <w:tc>
          <w:tcPr>
            <w:tcW w:type="dxa" w:w="109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Tracking</w:t>
            </w:r>
          </w:p>
        </w:tc>
        <w:tc>
          <w:tcPr>
            <w:tcW w:type="dxa" w:w="135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037"/>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r>
      <w:tr>
        <w:trPr>
          <w:cantSplit/>
        </w:trPr>
        <w:tc>
          <w:tcPr>
            <w:tcW w:type="dxa" w:w="3312"/>
            <w:vAlign w:val="center"/>
            <w:shd w:fill="F5F5F7"/>
            <w:tcMar>
              <w:top w:w="75" w:type="dxa"/>
              <w:bottom w:w="75" w:type="dxa"/>
              <w:start w:w="75" w:type="dxa"/>
              <w:end w:w="75" w:type="dxa"/>
            </w:tcMar>
          </w:tcPr>
          <w:p>
            <w:pPr>
              <w:spacing w:after="0" w:before="0" w:line="250" w:lineRule="auto"/>
              <w:jc w:val="left"/>
            </w:pPr>
            <w:r>
              <w:rPr>
                <w:rFonts w:ascii="Arial" w:hAnsi="Arial"/>
                <w:color w:val="18181C"/>
                <w:sz w:val="17"/>
              </w:rPr>
              <w:t>Team roles and performance analytics</w:t>
            </w:r>
          </w:p>
        </w:tc>
        <w:tc>
          <w:tcPr>
            <w:tcW w:type="dxa" w:w="109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35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037"/>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r>
      <w:tr>
        <w:trPr>
          <w:cantSplit/>
        </w:trPr>
        <w:tc>
          <w:tcPr>
            <w:tcW w:type="dxa" w:w="3312"/>
            <w:vAlign w:val="center"/>
            <w:shd w:fill="FFFFFF"/>
            <w:tcMar>
              <w:top w:w="75" w:type="dxa"/>
              <w:bottom w:w="75" w:type="dxa"/>
              <w:start w:w="75" w:type="dxa"/>
              <w:end w:w="75" w:type="dxa"/>
            </w:tcMar>
          </w:tcPr>
          <w:p>
            <w:pPr>
              <w:spacing w:after="0" w:before="0" w:line="250" w:lineRule="auto"/>
              <w:jc w:val="left"/>
            </w:pPr>
            <w:r>
              <w:rPr>
                <w:rFonts w:ascii="Arial" w:hAnsi="Arial"/>
                <w:color w:val="18181C"/>
                <w:sz w:val="17"/>
              </w:rPr>
              <w:t>QR admission and check-in</w:t>
            </w:r>
          </w:p>
        </w:tc>
        <w:tc>
          <w:tcPr>
            <w:tcW w:type="dxa" w:w="109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35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037"/>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r>
      <w:tr>
        <w:trPr>
          <w:cantSplit/>
        </w:trPr>
        <w:tc>
          <w:tcPr>
            <w:tcW w:type="dxa" w:w="3312"/>
            <w:vAlign w:val="center"/>
            <w:shd w:fill="F5F5F7"/>
            <w:tcMar>
              <w:top w:w="75" w:type="dxa"/>
              <w:bottom w:w="75" w:type="dxa"/>
              <w:start w:w="75" w:type="dxa"/>
              <w:end w:w="75" w:type="dxa"/>
            </w:tcMar>
          </w:tcPr>
          <w:p>
            <w:pPr>
              <w:spacing w:after="0" w:before="0" w:line="250" w:lineRule="auto"/>
              <w:jc w:val="left"/>
            </w:pPr>
            <w:r>
              <w:rPr>
                <w:rFonts w:ascii="Arial" w:hAnsi="Arial"/>
                <w:color w:val="18181C"/>
                <w:sz w:val="17"/>
              </w:rPr>
              <w:t>Cross-venue bookings with a promoter</w:t>
            </w:r>
          </w:p>
        </w:tc>
        <w:tc>
          <w:tcPr>
            <w:tcW w:type="dxa" w:w="109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35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037"/>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r>
      <w:tr>
        <w:trPr>
          <w:cantSplit/>
        </w:trPr>
        <w:tc>
          <w:tcPr>
            <w:tcW w:type="dxa" w:w="3312"/>
            <w:vAlign w:val="center"/>
            <w:shd w:fill="FFFFFF"/>
            <w:tcMar>
              <w:top w:w="75" w:type="dxa"/>
              <w:bottom w:w="75" w:type="dxa"/>
              <w:start w:w="75" w:type="dxa"/>
              <w:end w:w="75" w:type="dxa"/>
            </w:tcMar>
          </w:tcPr>
          <w:p>
            <w:pPr>
              <w:spacing w:after="0" w:before="0" w:line="250" w:lineRule="auto"/>
              <w:jc w:val="left"/>
            </w:pPr>
            <w:r>
              <w:rPr>
                <w:rFonts w:ascii="Arial" w:hAnsi="Arial"/>
                <w:color w:val="18181C"/>
                <w:sz w:val="17"/>
              </w:rPr>
              <w:t>Guestlist claim after signup</w:t>
            </w:r>
          </w:p>
        </w:tc>
        <w:tc>
          <w:tcPr>
            <w:tcW w:type="dxa" w:w="109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35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037"/>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r>
      <w:tr>
        <w:trPr>
          <w:cantSplit/>
        </w:trPr>
        <w:tc>
          <w:tcPr>
            <w:tcW w:type="dxa" w:w="3312"/>
            <w:vAlign w:val="center"/>
            <w:shd w:fill="F5F5F7"/>
            <w:tcMar>
              <w:top w:w="75" w:type="dxa"/>
              <w:bottom w:w="75" w:type="dxa"/>
              <w:start w:w="75" w:type="dxa"/>
              <w:end w:w="75" w:type="dxa"/>
            </w:tcMar>
          </w:tcPr>
          <w:p>
            <w:pPr>
              <w:spacing w:after="0" w:before="0" w:line="250" w:lineRule="auto"/>
              <w:jc w:val="left"/>
            </w:pPr>
            <w:r>
              <w:rPr>
                <w:rFonts w:ascii="Arial" w:hAnsi="Arial"/>
                <w:color w:val="18181C"/>
                <w:sz w:val="17"/>
              </w:rPr>
              <w:t>Individualized commissions and reporting</w:t>
            </w:r>
          </w:p>
        </w:tc>
        <w:tc>
          <w:tcPr>
            <w:tcW w:type="dxa" w:w="109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35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037"/>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r>
      <w:tr>
        <w:trPr>
          <w:cantSplit/>
        </w:trPr>
        <w:tc>
          <w:tcPr>
            <w:tcW w:type="dxa" w:w="3312"/>
            <w:vAlign w:val="center"/>
            <w:shd w:fill="FFFFFF"/>
            <w:tcMar>
              <w:top w:w="75" w:type="dxa"/>
              <w:bottom w:w="75" w:type="dxa"/>
              <w:start w:w="75" w:type="dxa"/>
              <w:end w:w="75" w:type="dxa"/>
            </w:tcMar>
          </w:tcPr>
          <w:p>
            <w:pPr>
              <w:spacing w:after="0" w:before="0" w:line="250" w:lineRule="auto"/>
              <w:jc w:val="left"/>
            </w:pPr>
            <w:r>
              <w:rPr>
                <w:rFonts w:ascii="Arial" w:hAnsi="Arial"/>
                <w:color w:val="18181C"/>
                <w:sz w:val="17"/>
              </w:rPr>
              <w:t>Competitor caps with a margin floor</w:t>
            </w:r>
          </w:p>
        </w:tc>
        <w:tc>
          <w:tcPr>
            <w:tcW w:type="dxa" w:w="109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936"/>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35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037"/>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r>
      <w:tr>
        <w:trPr>
          <w:cantSplit/>
        </w:trPr>
        <w:tc>
          <w:tcPr>
            <w:tcW w:type="dxa" w:w="3312"/>
            <w:vAlign w:val="center"/>
            <w:shd w:fill="F5F5F7"/>
            <w:tcMar>
              <w:top w:w="75" w:type="dxa"/>
              <w:bottom w:w="75" w:type="dxa"/>
              <w:start w:w="75" w:type="dxa"/>
              <w:end w:w="75" w:type="dxa"/>
            </w:tcMar>
          </w:tcPr>
          <w:p>
            <w:pPr>
              <w:spacing w:after="0" w:before="0" w:line="250" w:lineRule="auto"/>
              <w:jc w:val="left"/>
            </w:pPr>
            <w:r>
              <w:rPr>
                <w:rFonts w:ascii="Arial" w:hAnsi="Arial"/>
                <w:color w:val="18181C"/>
                <w:sz w:val="17"/>
              </w:rPr>
              <w:t>Cross-venue rebooking automation</w:t>
            </w:r>
          </w:p>
        </w:tc>
        <w:tc>
          <w:tcPr>
            <w:tcW w:type="dxa" w:w="109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In dev</w:t>
            </w:r>
          </w:p>
        </w:tc>
        <w:tc>
          <w:tcPr>
            <w:tcW w:type="dxa" w:w="936"/>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35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037"/>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w:t>
            </w:r>
          </w:p>
        </w:tc>
      </w:tr>
      <w:tr>
        <w:trPr>
          <w:cantSplit/>
        </w:trPr>
        <w:tc>
          <w:tcPr>
            <w:tcW w:type="dxa" w:w="3312"/>
            <w:vAlign w:val="center"/>
            <w:shd w:fill="FFFFFF"/>
            <w:tcMar>
              <w:top w:w="75" w:type="dxa"/>
              <w:bottom w:w="75" w:type="dxa"/>
              <w:start w:w="75" w:type="dxa"/>
              <w:end w:w="75" w:type="dxa"/>
            </w:tcMar>
          </w:tcPr>
          <w:p>
            <w:pPr>
              <w:spacing w:after="0" w:before="0" w:line="250" w:lineRule="auto"/>
              <w:jc w:val="left"/>
            </w:pPr>
            <w:r>
              <w:rPr>
                <w:rFonts w:ascii="Arial" w:hAnsi="Arial"/>
                <w:color w:val="18181C"/>
                <w:sz w:val="17"/>
              </w:rPr>
              <w:t>Messaging and CRM</w:t>
            </w:r>
          </w:p>
        </w:tc>
        <w:tc>
          <w:tcPr>
            <w:tcW w:type="dxa" w:w="109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In dev</w:t>
            </w:r>
          </w:p>
        </w:tc>
        <w:tc>
          <w:tcPr>
            <w:tcW w:type="dxa" w:w="936"/>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w:t>
            </w:r>
          </w:p>
        </w:tc>
        <w:tc>
          <w:tcPr>
            <w:tcW w:type="dxa" w:w="1195"/>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354"/>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037"/>
            <w:vAlign w:val="center"/>
            <w:shd w:fill="FFFFFF"/>
            <w:tcMar>
              <w:top w:w="75" w:type="dxa"/>
              <w:bottom w:w="75" w:type="dxa"/>
              <w:start w:w="75" w:type="dxa"/>
              <w:end w:w="75" w:type="dxa"/>
            </w:tcMar>
          </w:tcPr>
          <w:p>
            <w:pPr>
              <w:spacing w:after="0" w:before="0" w:line="250" w:lineRule="auto"/>
              <w:jc w:val="center"/>
            </w:pPr>
            <w:r>
              <w:rPr>
                <w:rFonts w:ascii="Arial" w:hAnsi="Arial"/>
                <w:color w:val="18181C"/>
                <w:sz w:val="17"/>
              </w:rPr>
              <w:t>Yes</w:t>
            </w:r>
          </w:p>
        </w:tc>
      </w:tr>
      <w:tr>
        <w:trPr>
          <w:cantSplit/>
        </w:trPr>
        <w:tc>
          <w:tcPr>
            <w:tcW w:type="dxa" w:w="3312"/>
            <w:vAlign w:val="center"/>
            <w:shd w:fill="F5F5F7"/>
            <w:tcMar>
              <w:top w:w="75" w:type="dxa"/>
              <w:bottom w:w="75" w:type="dxa"/>
              <w:start w:w="75" w:type="dxa"/>
              <w:end w:w="75" w:type="dxa"/>
            </w:tcMar>
          </w:tcPr>
          <w:p>
            <w:pPr>
              <w:spacing w:after="0" w:before="0" w:line="250" w:lineRule="auto"/>
              <w:jc w:val="left"/>
            </w:pPr>
            <w:r>
              <w:rPr>
                <w:rFonts w:ascii="Arial" w:hAnsi="Arial"/>
                <w:color w:val="18181C"/>
                <w:sz w:val="17"/>
              </w:rPr>
              <w:t>Live payments and payouts</w:t>
            </w:r>
          </w:p>
        </w:tc>
        <w:tc>
          <w:tcPr>
            <w:tcW w:type="dxa" w:w="109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In dev</w:t>
            </w:r>
          </w:p>
        </w:tc>
        <w:tc>
          <w:tcPr>
            <w:tcW w:type="dxa" w:w="936"/>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Checkout</w:t>
            </w:r>
          </w:p>
        </w:tc>
        <w:tc>
          <w:tcPr>
            <w:tcW w:type="dxa" w:w="1195"/>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c>
          <w:tcPr>
            <w:tcW w:type="dxa" w:w="1354"/>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Checkout</w:t>
            </w:r>
          </w:p>
        </w:tc>
        <w:tc>
          <w:tcPr>
            <w:tcW w:type="dxa" w:w="1037"/>
            <w:vAlign w:val="center"/>
            <w:shd w:fill="F5F5F7"/>
            <w:tcMar>
              <w:top w:w="75" w:type="dxa"/>
              <w:bottom w:w="75" w:type="dxa"/>
              <w:start w:w="75" w:type="dxa"/>
              <w:end w:w="75" w:type="dxa"/>
            </w:tcMar>
          </w:tcPr>
          <w:p>
            <w:pPr>
              <w:spacing w:after="0" w:before="0" w:line="250" w:lineRule="auto"/>
              <w:jc w:val="center"/>
            </w:pPr>
            <w:r>
              <w:rPr>
                <w:rFonts w:ascii="Arial" w:hAnsi="Arial"/>
                <w:color w:val="18181C"/>
                <w:sz w:val="17"/>
              </w:rPr>
              <w:t>Yes</w:t>
            </w:r>
          </w:p>
        </w:tc>
      </w:tr>
    </w:tbl>
    <w:p>
      <w:pPr>
        <w:widowControl/>
        <w:spacing w:after="20"/>
      </w:pPr>
    </w:p>
    <w:p>
      <w:pPr>
        <w:pStyle w:val="Heading2"/>
        <w:widowControl/>
      </w:pPr>
      <w:r>
        <w:rPr>
          <w:color w:val="000000"/>
        </w:rPr>
        <w:t>Where Nitewide intends to differentiate</w:t>
      </w:r>
    </w:p>
    <w:p>
      <w:pPr>
        <w:widowControl/>
      </w:pPr>
      <w:r>
        <w:rPr>
          <w:i w:val="0"/>
        </w:rPr>
        <w:t>Our differentiation thesis combines reusable customer/referrer connections across venues, guestlist auto-claim after signup, individualized commission snapshots and role-scoped operations. Planned rebooking automation will connect consented communications to eligible future events. Competitors already provide many ticketing, referral and analytics functions. The combined workflow must earn retention and switching value in pilots.</w:t>
      </w:r>
    </w:p>
    <w:p>
      <w:pPr>
        <w:widowControl/>
      </w:pPr>
      <w:r>
        <w:rPr>
          <w:i w:val="0"/>
        </w:rPr>
        <w:t>For three $25 tickets, buyer checkout is $83.40 on Nitewide, $85.47 on Posh and $85.57 on Eventbrite. For one $300 VIP package, the modeled totals are $321.52, $330.99 and $321.96 respectively. All three preserve $75 or $300 of venue proceeds when fees are buyer-paid, before commissions and other obligations. Nitewide does not claim higher venue proceeds on those identical baskets. Lower checkout costs may support conversion or leave more budget for in-venue spending; pilot data must establish the effect. [2, 5, 9, 24]</w:t>
      </w:r>
    </w:p>
    <w:p>
      <w:pPr>
        <w:widowControl/>
      </w:pPr>
      <w:r>
        <w:rPr>
          <w:i/>
          <w:color w:val="5D5865"/>
          <w:sz w:val="18"/>
        </w:rPr>
        <w:t>Posh: 10% + $0.99 per paid ticket, including processing. Eventbrite: 3.7% + $1.79 per ticket, plus 2.9% processing on face value and service fees. Three $25 tickets: $8.16 + $2.41 = $10.57 fees. $300 VIP: $12.89 + $9.07 = $21.96 fees. Per-unit cent rounding is assumed. These are modeled standard US rates, not identical-event checkout quotes or negotiated contracts. [5, 9]</w:t>
      </w:r>
    </w:p>
    <w:p>
      <w:pPr>
        <w:widowControl/>
      </w:pPr>
      <w:r>
        <w:br w:type="page"/>
      </w:r>
    </w:p>
    <w:p>
      <w:pPr>
        <w:pStyle w:val="Heading1"/>
        <w:widowControl/>
      </w:pPr>
      <w:r>
        <w:rPr>
          <w:color w:val="000000"/>
        </w:rPr>
        <w:t>6  Technical roadmap and evidence gates</w:t>
      </w:r>
    </w:p>
    <w:p>
      <w:pPr>
        <w:widowControl/>
      </w:pPr>
      <w:r>
        <w:rPr>
          <w:i w:val="0"/>
        </w:rPr>
        <w:t>The current investor proposal seeks $5 million for a six-month execution target. The sequence below combines the latest approved deck with the application’s production dependencies and repository roadmap. It is a proposed delivery plan, not a claim of live releases or signed partners. Longer-term national expansion remains contingent on measured pilot performance. [26, 30]</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val="true"/>
          <w:cantSplit/>
          <w:tblHeader/>
        </w:trPr>
        <w:tc>
          <w:tcPr>
            <w:tcW w:type="dxa" w:w="5083"/>
            <w:vAlign w:val="center"/>
            <w:tcMar>
              <w:top w:w="75" w:type="dxa"/>
              <w:start w:w="75" w:type="dxa"/>
              <w:bottom w:w="75" w:type="dxa"/>
              <w:end w:w="75" w:type="dxa"/>
            </w:tcMar>
            <w:shd w:fill="303039"/>
          </w:tcPr>
          <w:p>
            <w:pPr>
              <w:spacing w:after="0" w:before="0" w:line="250" w:lineRule="auto"/>
            </w:pPr>
            <w:r>
              <w:rPr>
                <w:rFonts w:ascii="Arial" w:hAnsi="Arial"/>
                <w:b/>
                <w:color w:val="FFFFFF"/>
                <w:sz w:val="15"/>
              </w:rPr>
              <w:t>Execution window</w:t>
            </w:r>
          </w:p>
        </w:tc>
        <w:tc>
          <w:tcPr>
            <w:tcW w:type="dxa" w:w="5083"/>
            <w:vAlign w:val="center"/>
            <w:tcMar>
              <w:top w:w="75" w:type="dxa"/>
              <w:start w:w="75" w:type="dxa"/>
              <w:bottom w:w="75" w:type="dxa"/>
              <w:end w:w="75" w:type="dxa"/>
            </w:tcMar>
            <w:shd w:fill="303039"/>
          </w:tcPr>
          <w:p>
            <w:pPr>
              <w:spacing w:after="0" w:before="0" w:line="250" w:lineRule="auto"/>
            </w:pPr>
            <w:r>
              <w:rPr>
                <w:rFonts w:ascii="Arial" w:hAnsi="Arial"/>
                <w:b/>
                <w:color w:val="FFFFFF"/>
                <w:sz w:val="15"/>
              </w:rPr>
              <w:t>Required evidence before advancement</w:t>
            </w:r>
          </w:p>
        </w:tc>
      </w:tr>
      <w:tr>
        <w:trPr>
          <w:cantSplit/>
        </w:trPr>
        <w:tc>
          <w:tcPr>
            <w:tcW w:type="dxa" w:w="2376"/>
            <w:vAlign w:val="center"/>
            <w:tcMar>
              <w:top w:w="75" w:type="dxa"/>
              <w:start w:w="75" w:type="dxa"/>
              <w:bottom w:w="75" w:type="dxa"/>
              <w:end w:w="75" w:type="dxa"/>
            </w:tcMar>
            <w:shd w:fill="F5F5F7"/>
          </w:tcPr>
          <w:p>
            <w:pPr>
              <w:spacing w:after="0" w:line="250" w:lineRule="auto" w:before="0"/>
            </w:pPr>
            <w:r>
              <w:rPr>
                <w:rFonts w:ascii="Arial" w:hAnsi="Arial"/>
                <w:b/>
                <w:color w:val="18181C"/>
                <w:sz w:val="15"/>
              </w:rPr>
              <w:t>Month 1</w:t>
              <w:br/>
              <w:t>Architecture and foundation</w:t>
            </w:r>
          </w:p>
        </w:tc>
        <w:tc>
          <w:tcPr>
            <w:tcW w:type="dxa" w:w="7848"/>
            <w:vAlign w:val="center"/>
            <w:tcMar>
              <w:top w:w="75" w:type="dxa"/>
              <w:start w:w="75" w:type="dxa"/>
              <w:bottom w:w="75" w:type="dxa"/>
              <w:end w:w="75" w:type="dxa"/>
            </w:tcMar>
            <w:shd w:fill="F5F5F7"/>
          </w:tcPr>
          <w:p>
            <w:pPr>
              <w:spacing w:after="0" w:line="250" w:lineRule="auto" w:before="0"/>
            </w:pPr>
            <w:r>
              <w:rPr>
                <w:rFonts w:ascii="Arial" w:hAnsi="Arial"/>
                <w:color w:val="18181C"/>
                <w:sz w:val="15"/>
              </w:rPr>
              <w:t>Approve seller/MoR, Nitewide-paid processing, liability and cost assumptions. Establish CI, deployment, production identity, backup/restore and operational ownership.</w:t>
            </w:r>
          </w:p>
        </w:tc>
      </w:tr>
      <w:tr>
        <w:trPr>
          <w:cantSplit/>
        </w:trPr>
        <w:tc>
          <w:tcPr>
            <w:tcW w:type="dxa" w:w="2376"/>
            <w:vAlign w:val="center"/>
            <w:tcMar>
              <w:top w:w="75" w:type="dxa"/>
              <w:start w:w="75" w:type="dxa"/>
              <w:bottom w:w="75" w:type="dxa"/>
              <w:end w:w="75" w:type="dxa"/>
            </w:tcMar>
            <w:shd w:fill="FFFFFF"/>
          </w:tcPr>
          <w:p>
            <w:pPr>
              <w:spacing w:after="0" w:line="250" w:lineRule="auto" w:before="0"/>
            </w:pPr>
            <w:r>
              <w:rPr>
                <w:rFonts w:ascii="Arial" w:hAnsi="Arial"/>
                <w:b/>
                <w:color w:val="18181C"/>
                <w:sz w:val="15"/>
              </w:rPr>
              <w:t>Months 2 and 3</w:t>
              <w:br/>
              <w:t>Transaction alpha</w:t>
            </w:r>
          </w:p>
        </w:tc>
        <w:tc>
          <w:tcPr>
            <w:tcW w:type="dxa" w:w="7848"/>
            <w:vAlign w:val="center"/>
            <w:tcMar>
              <w:top w:w="75" w:type="dxa"/>
              <w:start w:w="75" w:type="dxa"/>
              <w:bottom w:w="75" w:type="dxa"/>
              <w:end w:w="75" w:type="dxa"/>
            </w:tcMar>
            <w:shd w:fill="FFFFFF"/>
          </w:tcPr>
          <w:p>
            <w:pPr>
              <w:spacing w:after="0" w:line="250" w:lineRule="auto" w:before="0"/>
            </w:pPr>
            <w:r>
              <w:rPr>
                <w:rFonts w:ascii="Arial" w:hAnsi="Arial"/>
                <w:color w:val="18181C"/>
                <w:sz w:val="15"/>
              </w:rPr>
              <w:t>Run a Connect test-mode booking-to-admission loop with onboarding, webhooks, inventory, credentials, refunds and ledger reconciliation. Verify actual fee bounds and minimum-fee disclosures.</w:t>
            </w:r>
          </w:p>
        </w:tc>
      </w:tr>
      <w:tr>
        <w:trPr>
          <w:cantSplit/>
        </w:trPr>
        <w:tc>
          <w:tcPr>
            <w:tcW w:type="dxa" w:w="2376"/>
            <w:vAlign w:val="center"/>
            <w:tcMar>
              <w:top w:w="75" w:type="dxa"/>
              <w:start w:w="75" w:type="dxa"/>
              <w:bottom w:w="75" w:type="dxa"/>
              <w:end w:w="75" w:type="dxa"/>
            </w:tcMar>
            <w:shd w:fill="F5F5F7"/>
          </w:tcPr>
          <w:p>
            <w:pPr>
              <w:spacing w:after="0" w:line="250" w:lineRule="auto" w:before="0"/>
            </w:pPr>
            <w:r>
              <w:rPr>
                <w:rFonts w:ascii="Arial" w:hAnsi="Arial"/>
                <w:b/>
                <w:color w:val="18181C"/>
                <w:sz w:val="15"/>
              </w:rPr>
              <w:t>Months 3 and 4</w:t>
              <w:br/>
              <w:t>Controlled partner beta</w:t>
            </w:r>
          </w:p>
        </w:tc>
        <w:tc>
          <w:tcPr>
            <w:tcW w:type="dxa" w:w="7848"/>
            <w:vAlign w:val="center"/>
            <w:tcMar>
              <w:top w:w="75" w:type="dxa"/>
              <w:start w:w="75" w:type="dxa"/>
              <w:bottom w:w="75" w:type="dxa"/>
              <w:end w:w="75" w:type="dxa"/>
            </w:tcMar>
            <w:shd w:fill="F5F5F7"/>
          </w:tcPr>
          <w:p>
            <w:pPr>
              <w:spacing w:after="0" w:line="250" w:lineRule="auto" w:before="0"/>
            </w:pPr>
            <w:r>
              <w:rPr>
                <w:rFonts w:ascii="Arial" w:hAnsi="Arial"/>
                <w:color w:val="18181C"/>
                <w:sz w:val="15"/>
              </w:rPr>
              <w:t>Recruit an initial Orlando venue cohort. Validate referrals, guestlist pools, scans, transactional messaging, risk holds, dispute evidence and fee/contribution reporting. Recruitment target is not a signed pipeline.</w:t>
            </w:r>
          </w:p>
        </w:tc>
      </w:tr>
      <w:tr>
        <w:trPr>
          <w:cantSplit/>
        </w:trPr>
        <w:tc>
          <w:tcPr>
            <w:tcW w:type="dxa" w:w="2376"/>
            <w:vAlign w:val="center"/>
            <w:tcMar>
              <w:top w:w="75" w:type="dxa"/>
              <w:start w:w="75" w:type="dxa"/>
              <w:bottom w:w="75" w:type="dxa"/>
              <w:end w:w="75" w:type="dxa"/>
            </w:tcMar>
            <w:shd w:fill="FFFFFF"/>
          </w:tcPr>
          <w:p>
            <w:pPr>
              <w:spacing w:after="0" w:line="250" w:lineRule="auto" w:before="0"/>
            </w:pPr>
            <w:r>
              <w:rPr>
                <w:rFonts w:ascii="Arial" w:hAnsi="Arial"/>
                <w:b/>
                <w:color w:val="18181C"/>
                <w:sz w:val="15"/>
              </w:rPr>
              <w:t>Months 5 and 6</w:t>
              <w:br/>
              <w:t>Commercial proof</w:t>
            </w:r>
          </w:p>
        </w:tc>
        <w:tc>
          <w:tcPr>
            <w:tcW w:type="dxa" w:w="7848"/>
            <w:vAlign w:val="center"/>
            <w:tcMar>
              <w:top w:w="75" w:type="dxa"/>
              <w:start w:w="75" w:type="dxa"/>
              <w:bottom w:w="75" w:type="dxa"/>
              <w:end w:w="75" w:type="dxa"/>
            </w:tcMar>
            <w:shd w:fill="FFFFFF"/>
          </w:tcPr>
          <w:p>
            <w:pPr>
              <w:spacing w:after="0" w:line="250" w:lineRule="auto" w:before="0"/>
            </w:pPr>
            <w:r>
              <w:rPr>
                <w:rFonts w:ascii="Arial" w:hAnsi="Arial"/>
                <w:color w:val="18181C"/>
                <w:sz w:val="15"/>
              </w:rPr>
              <w:t>Enable controlled production transactions only after legal, payment and reliability gates pass. Measure venue retention, referred conversion, repeat booking, loss rates and contribution before broader market outreach.</w:t>
            </w:r>
          </w:p>
        </w:tc>
      </w:tr>
      <w:tr>
        <w:trPr>
          <w:cantSplit/>
        </w:trPr>
        <w:tc>
          <w:tcPr>
            <w:tcW w:type="dxa" w:w="2376"/>
            <w:vAlign w:val="center"/>
            <w:tcMar>
              <w:top w:w="75" w:type="dxa"/>
              <w:start w:w="75" w:type="dxa"/>
              <w:bottom w:w="75" w:type="dxa"/>
              <w:end w:w="75" w:type="dxa"/>
            </w:tcMar>
            <w:shd w:fill="F5F5F7"/>
          </w:tcPr>
          <w:p>
            <w:pPr>
              <w:spacing w:after="0" w:line="250" w:lineRule="auto" w:before="0"/>
            </w:pPr>
            <w:r>
              <w:rPr>
                <w:rFonts w:ascii="Arial" w:hAnsi="Arial"/>
                <w:b/>
                <w:color w:val="18181C"/>
                <w:sz w:val="15"/>
              </w:rPr>
              <w:t>Beyond six months</w:t>
              <w:br/>
              <w:t>Evidence based expansion</w:t>
            </w:r>
          </w:p>
        </w:tc>
        <w:tc>
          <w:tcPr>
            <w:tcW w:type="dxa" w:w="7848"/>
            <w:vAlign w:val="center"/>
            <w:tcMar>
              <w:top w:w="75" w:type="dxa"/>
              <w:start w:w="75" w:type="dxa"/>
              <w:bottom w:w="75" w:type="dxa"/>
              <w:end w:w="75" w:type="dxa"/>
            </w:tcMar>
            <w:shd w:fill="F5F5F7"/>
          </w:tcPr>
          <w:p>
            <w:pPr>
              <w:spacing w:after="0" w:line="250" w:lineRule="auto" w:before="0"/>
            </w:pPr>
            <w:r>
              <w:rPr>
                <w:rFonts w:ascii="Arial" w:hAnsi="Arial"/>
                <w:color w:val="18181C"/>
                <w:sz w:val="15"/>
              </w:rPr>
              <w:t>Consider additional Florida and US markets only with repeatable onboarding, sufficient local supply, support coverage and acceptable realized unit economics.</w:t>
            </w:r>
          </w:p>
        </w:tc>
      </w:tr>
    </w:tbl>
    <w:p>
      <w:pPr>
        <w:widowControl/>
        <w:spacing w:after="20"/>
      </w:pPr>
    </w:p>
    <w:p>
      <w:pPr>
        <w:pStyle w:val="Heading2"/>
        <w:widowControl/>
      </w:pPr>
      <w:r>
        <w:rPr>
          <w:color w:val="000000"/>
        </w:rPr>
        <w:t>Capital allocation and integration sequence</w:t>
      </w:r>
    </w:p>
    <w:p>
      <w:pPr/>
      <w:r>
        <w:t>Proposed allocation: product and engineering $2.25M; operations and infrastructure $1.00M; marketing, outreach and expansion $1.00M; legal, payments and risk $0.50M; contingency $0.25M. Total: $5.00M. This is an allocation of requested capital, not booked expenditure or a commitment to spend the full raise in six months. [30]</w:t>
      </w:r>
    </w:p>
    <w:p>
      <w:pPr>
        <w:pStyle w:val="ListBullet"/>
        <w:widowControl/>
        <w:spacing w:after="40" w:line="250" w:lineRule="auto"/>
      </w:pPr>
      <w:r>
        <w:t>Validate the Connect configuration against host seller identity and Nitewide-funded processing, including refunds, disputes, reserves, settlement reconciliation and negative-balance recovery.</w:t>
      </w:r>
    </w:p>
    <w:p>
      <w:pPr>
        <w:pStyle w:val="ListBullet"/>
        <w:widowControl/>
        <w:spacing w:after="40" w:line="250" w:lineRule="auto"/>
      </w:pPr>
      <w:r>
        <w:t>Deploy the modular API and apps, Postgres/PostGIS, backups and worker topology; define restore drills and operational ownership before accepting money.</w:t>
      </w:r>
    </w:p>
    <w:p>
      <w:pPr>
        <w:pStyle w:val="ListBullet"/>
        <w:widowControl/>
        <w:spacing w:after="40" w:line="250" w:lineRule="auto"/>
      </w:pPr>
      <w:r>
        <w:t>Add the transactional outbox and BullMQ workers for Resend email and Plivo SMS. Verify retry idempotency, channel consent, suppression and delivery receipts before automated rebooking campaigns.</w:t>
      </w:r>
    </w:p>
    <w:p>
      <w:pPr>
        <w:pStyle w:val="ListBullet"/>
        <w:widowControl/>
        <w:spacing w:after="40" w:line="250" w:lineRule="auto"/>
      </w:pPr>
      <w:r>
        <w:t>Implement Cloudflare R2 uploads/download authorization with stable database keys, signed URL expiry, type/size validation, deletion/retention and CDN privacy review.</w:t>
      </w:r>
    </w:p>
    <w:p>
      <w:pPr>
        <w:pStyle w:val="ListBullet"/>
        <w:widowControl/>
        <w:spacing w:after="40" w:line="250" w:lineRule="auto"/>
      </w:pPr>
      <w:r>
        <w:t>Instrument GlitchTip and service health; publish a limited metric set for availability, checkout completion, oversell, admission latency, payment reconciliation, disputes, communication delivery, support load and contribution.</w:t>
      </w:r>
    </w:p>
    <w:p>
      <w:pPr>
        <w:pStyle w:val="ListBullet"/>
        <w:widowControl/>
        <w:spacing w:after="40" w:line="250" w:lineRule="auto"/>
      </w:pPr>
      <w:r>
        <w:t>Expand from Orlando design partners only after real cohort evidence; market growth follows a repeatable supply activation and guest demand playbook.</w:t>
      </w:r>
    </w:p>
    <w:p>
      <w:pPr>
        <w:widowControl/>
      </w:pPr>
      <w:r>
        <w:br w:type="page"/>
      </w:r>
    </w:p>
    <w:p>
      <w:pPr>
        <w:pStyle w:val="Heading1"/>
        <w:widowControl/>
      </w:pPr>
      <w:r>
        <w:rPr>
          <w:color w:val="000000"/>
        </w:rPr>
        <w:t>7  Risks diligence priorities and partnership case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val="true"/>
          <w:cantSplit/>
          <w:tblHeader/>
        </w:trPr>
        <w:tc>
          <w:tcPr>
            <w:tcW w:type="dxa" w:w="5083"/>
            <w:vAlign w:val="center"/>
            <w:tcMar>
              <w:top w:w="75" w:type="dxa"/>
              <w:start w:w="75" w:type="dxa"/>
              <w:bottom w:w="75" w:type="dxa"/>
              <w:end w:w="75" w:type="dxa"/>
            </w:tcMar>
            <w:shd w:fill="303039"/>
          </w:tcPr>
          <w:p>
            <w:pPr>
              <w:spacing w:after="0" w:before="0" w:line="250" w:lineRule="auto"/>
            </w:pPr>
            <w:r>
              <w:rPr>
                <w:rFonts w:ascii="Arial" w:hAnsi="Arial"/>
                <w:b/>
                <w:color w:val="FFFFFF"/>
                <w:sz w:val="15"/>
              </w:rPr>
              <w:t>Risk / open question</w:t>
            </w:r>
          </w:p>
        </w:tc>
        <w:tc>
          <w:tcPr>
            <w:tcW w:type="dxa" w:w="5083"/>
            <w:vAlign w:val="center"/>
            <w:tcMar>
              <w:top w:w="75" w:type="dxa"/>
              <w:start w:w="75" w:type="dxa"/>
              <w:bottom w:w="75" w:type="dxa"/>
              <w:end w:w="75" w:type="dxa"/>
            </w:tcMar>
            <w:shd w:fill="303039"/>
          </w:tcPr>
          <w:p>
            <w:pPr>
              <w:spacing w:after="0" w:before="0" w:line="250" w:lineRule="auto"/>
            </w:pPr>
            <w:r>
              <w:rPr>
                <w:rFonts w:ascii="Arial" w:hAnsi="Arial"/>
                <w:b/>
                <w:color w:val="FFFFFF"/>
                <w:sz w:val="15"/>
              </w:rPr>
              <w:t>Mitigation and evidence required</w:t>
            </w:r>
          </w:p>
        </w:tc>
      </w:tr>
      <w:tr>
        <w:trPr>
          <w:cantSplit/>
        </w:trPr>
        <w:tc>
          <w:tcPr>
            <w:tcW w:type="dxa" w:w="2448"/>
            <w:vAlign w:val="center"/>
            <w:tcMar>
              <w:top w:w="75" w:type="dxa"/>
              <w:start w:w="75" w:type="dxa"/>
              <w:bottom w:w="75" w:type="dxa"/>
              <w:end w:w="75" w:type="dxa"/>
            </w:tcMar>
            <w:shd w:fill="F5F5F7"/>
          </w:tcPr>
          <w:p>
            <w:pPr>
              <w:spacing w:after="0" w:line="250" w:lineRule="auto" w:before="0"/>
            </w:pPr>
            <w:r>
              <w:rPr>
                <w:rFonts w:ascii="Arial" w:hAnsi="Arial"/>
                <w:b/>
                <w:color w:val="18181C"/>
                <w:sz w:val="15"/>
              </w:rPr>
              <w:t>Marketplace liquidity</w:t>
            </w:r>
          </w:p>
        </w:tc>
        <w:tc>
          <w:tcPr>
            <w:tcW w:type="dxa" w:w="7776"/>
            <w:vAlign w:val="center"/>
            <w:tcMar>
              <w:top w:w="75" w:type="dxa"/>
              <w:start w:w="75" w:type="dxa"/>
              <w:bottom w:w="75" w:type="dxa"/>
              <w:end w:w="75" w:type="dxa"/>
            </w:tcMar>
            <w:shd w:fill="F5F5F7"/>
          </w:tcPr>
          <w:p>
            <w:pPr>
              <w:spacing w:after="0" w:line="250" w:lineRule="auto" w:before="0"/>
            </w:pPr>
            <w:r>
              <w:rPr>
                <w:rFonts w:ascii="Arial" w:hAnsi="Arial"/>
                <w:color w:val="18181C"/>
                <w:sz w:val="15"/>
              </w:rPr>
              <w:t>Measure active events, reliable inventory, city/weekend density, buyer search-to-book funnel, promoter activation, repeat bookings and cancellation rates by cohort; avoid unsupported national scale claims.</w:t>
            </w:r>
          </w:p>
        </w:tc>
      </w:tr>
      <w:tr>
        <w:trPr>
          <w:cantSplit/>
        </w:trPr>
        <w:tc>
          <w:tcPr>
            <w:tcW w:type="dxa" w:w="2448"/>
            <w:vAlign w:val="center"/>
            <w:tcMar>
              <w:top w:w="75" w:type="dxa"/>
              <w:start w:w="75" w:type="dxa"/>
              <w:bottom w:w="75" w:type="dxa"/>
              <w:end w:w="75" w:type="dxa"/>
            </w:tcMar>
            <w:shd w:fill="FFFFFF"/>
          </w:tcPr>
          <w:p>
            <w:pPr>
              <w:spacing w:after="0" w:line="250" w:lineRule="auto" w:before="0"/>
            </w:pPr>
            <w:r>
              <w:rPr>
                <w:rFonts w:ascii="Arial" w:hAnsi="Arial"/>
                <w:b/>
                <w:color w:val="18181C"/>
                <w:sz w:val="15"/>
              </w:rPr>
              <w:t>Payments liability and MoR characterization</w:t>
            </w:r>
          </w:p>
        </w:tc>
        <w:tc>
          <w:tcPr>
            <w:tcW w:type="dxa" w:w="7776"/>
            <w:vAlign w:val="center"/>
            <w:tcMar>
              <w:top w:w="75" w:type="dxa"/>
              <w:start w:w="75" w:type="dxa"/>
              <w:bottom w:w="75" w:type="dxa"/>
              <w:end w:w="75" w:type="dxa"/>
            </w:tcMar>
            <w:shd w:fill="FFFFFF"/>
          </w:tcPr>
          <w:p>
            <w:pPr>
              <w:spacing w:after="0" w:line="250" w:lineRule="auto" w:before="0"/>
            </w:pPr>
            <w:r>
              <w:rPr>
                <w:rFonts w:ascii="Arial" w:hAnsi="Arial"/>
                <w:color w:val="18181C"/>
                <w:sz w:val="15"/>
              </w:rPr>
              <w:t>Obtain counsel and Stripe approval; align seller contracts, receipts, descriptors, charge type, tax obligations, chargeback responsibility and account controller configuration.</w:t>
            </w:r>
          </w:p>
        </w:tc>
      </w:tr>
      <w:tr>
        <w:trPr>
          <w:cantSplit/>
        </w:trPr>
        <w:tc>
          <w:tcPr>
            <w:tcW w:type="dxa" w:w="2448"/>
            <w:vAlign w:val="center"/>
            <w:tcMar>
              <w:top w:w="75" w:type="dxa"/>
              <w:start w:w="75" w:type="dxa"/>
              <w:bottom w:w="75" w:type="dxa"/>
              <w:end w:w="75" w:type="dxa"/>
            </w:tcMar>
            <w:shd w:fill="F5F5F7"/>
          </w:tcPr>
          <w:p>
            <w:pPr>
              <w:spacing w:after="0" w:line="250" w:lineRule="auto" w:before="0"/>
            </w:pPr>
            <w:r>
              <w:rPr>
                <w:rFonts w:ascii="Arial" w:hAnsi="Arial"/>
                <w:b/>
                <w:color w:val="18181C"/>
                <w:sz w:val="15"/>
              </w:rPr>
              <w:t>Fee economics and conversion</w:t>
            </w:r>
          </w:p>
        </w:tc>
        <w:tc>
          <w:tcPr>
            <w:tcW w:type="dxa" w:w="7776"/>
            <w:vAlign w:val="center"/>
            <w:tcMar>
              <w:top w:w="75" w:type="dxa"/>
              <w:start w:w="75" w:type="dxa"/>
              <w:bottom w:w="75" w:type="dxa"/>
              <w:end w:w="75" w:type="dxa"/>
            </w:tcMar>
            <w:shd w:fill="F5F5F7"/>
          </w:tcPr>
          <w:p>
            <w:pPr>
              <w:spacing w:after="0" w:line="250" w:lineRule="auto" w:before="0"/>
            </w:pPr>
            <w:r>
              <w:rPr>
                <w:rFonts w:ascii="Arial" w:hAnsi="Arial"/>
                <w:color w:val="18181C"/>
                <w:sz w:val="15"/>
              </w:rPr>
              <w:t>Validate standard 8% + $0.80 per paid unit, competitive discounts and the hard $1 modeled contribution floor. Reconcile actual processing, refunds, disputes and support costs. Measure conversion and higher-fee exceptions rather than promise universal savings.</w:t>
            </w:r>
          </w:p>
        </w:tc>
      </w:tr>
      <w:tr>
        <w:trPr>
          <w:cantSplit/>
        </w:trPr>
        <w:tc>
          <w:tcPr>
            <w:tcW w:type="dxa" w:w="2448"/>
            <w:vAlign w:val="center"/>
            <w:tcMar>
              <w:top w:w="75" w:type="dxa"/>
              <w:start w:w="75" w:type="dxa"/>
              <w:bottom w:w="75" w:type="dxa"/>
              <w:end w:w="75" w:type="dxa"/>
            </w:tcMar>
            <w:shd w:fill="FFFFFF"/>
          </w:tcPr>
          <w:p>
            <w:pPr>
              <w:spacing w:after="0" w:line="250" w:lineRule="auto" w:before="0"/>
            </w:pPr>
            <w:r>
              <w:rPr>
                <w:rFonts w:ascii="Arial" w:hAnsi="Arial"/>
                <w:b/>
                <w:color w:val="18181C"/>
                <w:sz w:val="15"/>
              </w:rPr>
              <w:t>Fraud, disputes and entry</w:t>
            </w:r>
          </w:p>
        </w:tc>
        <w:tc>
          <w:tcPr>
            <w:tcW w:type="dxa" w:w="7776"/>
            <w:vAlign w:val="center"/>
            <w:tcMar>
              <w:top w:w="75" w:type="dxa"/>
              <w:start w:w="75" w:type="dxa"/>
              <w:bottom w:w="75" w:type="dxa"/>
              <w:end w:w="75" w:type="dxa"/>
            </w:tcMar>
            <w:shd w:fill="FFFFFF"/>
          </w:tcPr>
          <w:p>
            <w:pPr>
              <w:spacing w:after="0" w:line="250" w:lineRule="auto" w:before="0"/>
            </w:pPr>
            <w:r>
              <w:rPr>
                <w:rFonts w:ascii="Arial" w:hAnsi="Arial"/>
                <w:color w:val="18181C"/>
                <w:sz w:val="15"/>
              </w:rPr>
              <w:t>Layer payment risk rules, rate limits, allocation controls, refund/payout holds and human review. Measure dispute reason, evidence completeness, loss, recovery and false positives; a QR scan is fulfillment evidence, not proof of authorization.</w:t>
            </w:r>
          </w:p>
        </w:tc>
      </w:tr>
      <w:tr>
        <w:trPr>
          <w:cantSplit/>
        </w:trPr>
        <w:tc>
          <w:tcPr>
            <w:tcW w:type="dxa" w:w="2448"/>
            <w:vAlign w:val="center"/>
            <w:tcMar>
              <w:top w:w="75" w:type="dxa"/>
              <w:start w:w="75" w:type="dxa"/>
              <w:bottom w:w="75" w:type="dxa"/>
              <w:end w:w="75" w:type="dxa"/>
            </w:tcMar>
            <w:shd w:fill="F5F5F7"/>
          </w:tcPr>
          <w:p>
            <w:pPr>
              <w:spacing w:after="0" w:line="250" w:lineRule="auto" w:before="0"/>
            </w:pPr>
            <w:r>
              <w:rPr>
                <w:rFonts w:ascii="Arial" w:hAnsi="Arial"/>
                <w:b/>
                <w:color w:val="18181C"/>
                <w:sz w:val="15"/>
              </w:rPr>
              <w:t>Privacy, security, and consent</w:t>
            </w:r>
          </w:p>
        </w:tc>
        <w:tc>
          <w:tcPr>
            <w:tcW w:type="dxa" w:w="7776"/>
            <w:vAlign w:val="center"/>
            <w:tcMar>
              <w:top w:w="75" w:type="dxa"/>
              <w:start w:w="75" w:type="dxa"/>
              <w:bottom w:w="75" w:type="dxa"/>
              <w:end w:w="75" w:type="dxa"/>
            </w:tcMar>
            <w:shd w:fill="F5F5F7"/>
          </w:tcPr>
          <w:p>
            <w:pPr>
              <w:spacing w:after="0" w:line="250" w:lineRule="auto" w:before="0"/>
            </w:pPr>
            <w:r>
              <w:rPr>
                <w:rFonts w:ascii="Arial" w:hAnsi="Arial"/>
                <w:color w:val="18181C"/>
                <w:sz w:val="15"/>
              </w:rPr>
              <w:t>Minimize personal data; protect signed invite links and QR credentials; separate transactional vs marketing consent; define data retention, deletion, access logs, incident response and independent security review.</w:t>
            </w:r>
          </w:p>
        </w:tc>
      </w:tr>
      <w:tr>
        <w:trPr>
          <w:cantSplit/>
        </w:trPr>
        <w:tc>
          <w:tcPr>
            <w:tcW w:type="dxa" w:w="2448"/>
            <w:vAlign w:val="center"/>
            <w:tcMar>
              <w:top w:w="75" w:type="dxa"/>
              <w:start w:w="75" w:type="dxa"/>
              <w:bottom w:w="75" w:type="dxa"/>
              <w:end w:w="75" w:type="dxa"/>
            </w:tcMar>
            <w:shd w:fill="FFFFFF"/>
          </w:tcPr>
          <w:p>
            <w:pPr>
              <w:spacing w:after="0" w:line="250" w:lineRule="auto" w:before="0"/>
            </w:pPr>
            <w:r>
              <w:rPr>
                <w:rFonts w:ascii="Arial" w:hAnsi="Arial"/>
                <w:b/>
                <w:color w:val="18181C"/>
                <w:sz w:val="15"/>
              </w:rPr>
              <w:t>Solo-founder concentration</w:t>
            </w:r>
          </w:p>
        </w:tc>
        <w:tc>
          <w:tcPr>
            <w:tcW w:type="dxa" w:w="7776"/>
            <w:vAlign w:val="center"/>
            <w:tcMar>
              <w:top w:w="75" w:type="dxa"/>
              <w:start w:w="75" w:type="dxa"/>
              <w:bottom w:w="75" w:type="dxa"/>
              <w:end w:w="75" w:type="dxa"/>
            </w:tcMar>
            <w:shd w:fill="FFFFFF"/>
          </w:tcPr>
          <w:p>
            <w:pPr>
              <w:spacing w:after="0" w:line="250" w:lineRule="auto" w:before="0"/>
            </w:pPr>
            <w:r>
              <w:rPr>
                <w:rFonts w:ascii="Arial" w:hAnsi="Arial"/>
                <w:color w:val="18181C"/>
                <w:sz w:val="15"/>
              </w:rPr>
              <w:t>Keep scope narrow, automate tests and release checks, document recovery/runbooks, retain specialist legal/tax/security support, and define customer support coverage before launch.</w:t>
            </w:r>
          </w:p>
        </w:tc>
      </w:tr>
      <w:tr>
        <w:trPr>
          <w:cantSplit/>
        </w:trPr>
        <w:tc>
          <w:tcPr>
            <w:tcW w:type="dxa" w:w="2448"/>
            <w:vAlign w:val="center"/>
            <w:tcMar>
              <w:top w:w="75" w:type="dxa"/>
              <w:start w:w="75" w:type="dxa"/>
              <w:bottom w:w="75" w:type="dxa"/>
              <w:end w:w="75" w:type="dxa"/>
            </w:tcMar>
            <w:shd w:fill="F5F5F7"/>
          </w:tcPr>
          <w:p>
            <w:pPr>
              <w:spacing w:after="0" w:line="250" w:lineRule="auto" w:before="0"/>
            </w:pPr>
            <w:r>
              <w:rPr>
                <w:rFonts w:ascii="Arial" w:hAnsi="Arial"/>
                <w:b/>
                <w:color w:val="18181C"/>
                <w:sz w:val="15"/>
              </w:rPr>
              <w:t>Vendor cost and dependency</w:t>
            </w:r>
          </w:p>
        </w:tc>
        <w:tc>
          <w:tcPr>
            <w:tcW w:type="dxa" w:w="7776"/>
            <w:vAlign w:val="center"/>
            <w:tcMar>
              <w:top w:w="75" w:type="dxa"/>
              <w:start w:w="75" w:type="dxa"/>
              <w:bottom w:w="75" w:type="dxa"/>
              <w:end w:w="75" w:type="dxa"/>
            </w:tcMar>
            <w:shd w:fill="F5F5F7"/>
          </w:tcPr>
          <w:p>
            <w:pPr>
              <w:spacing w:after="0" w:line="250" w:lineRule="auto" w:before="0"/>
            </w:pPr>
            <w:r>
              <w:rPr>
                <w:rFonts w:ascii="Arial" w:hAnsi="Arial"/>
                <w:color w:val="18181C"/>
                <w:sz w:val="15"/>
              </w:rPr>
              <w:t>Model Render, Redis command pattern, email/SMS volume, R2 storage/egress and monitoring against observed workloads; set alerts/limits and maintain exportable core records and provider adapters.</w:t>
            </w:r>
          </w:p>
        </w:tc>
      </w:tr>
    </w:tbl>
    <w:p>
      <w:pPr>
        <w:widowControl/>
        <w:spacing w:after="20"/>
      </w:pPr>
    </w:p>
    <w:p>
      <w:pPr>
        <w:pStyle w:val="Heading2"/>
        <w:widowControl/>
      </w:pPr>
      <w:r>
        <w:rPr>
          <w:color w:val="000000"/>
        </w:rPr>
        <w:t>Partner value proposition</w:t>
      </w:r>
    </w:p>
    <w:p>
      <w:pPr>
        <w:widowControl/>
      </w:pPr>
      <w:r>
        <w:rPr>
          <w:i w:val="0"/>
        </w:rPr>
        <w:t>A Florida design partner can help test whether Nitewide reduces operational fragmentation for a venue: one workflow for event publication, offer tiers, direct and promoter guestlist capacity, event-specific sharing, team contribution, approval queues, attendee visibility and check-in. In exchange, the partner should receive transparent test scope, clear fee/payout assumptions, rapid feedback loops, data handling terms, escalation contacts and an explicit ability to stop the pilot. No exclusivity or production reliance should be implied before the reliability and compliance gates pass.</w:t>
      </w:r>
    </w:p>
    <w:p>
      <w:pPr>
        <w:pStyle w:val="Heading2"/>
        <w:widowControl/>
      </w:pPr>
      <w:r>
        <w:rPr>
          <w:color w:val="000000"/>
        </w:rPr>
        <w:t>Questions for investor and platform partners</w:t>
      </w:r>
    </w:p>
    <w:p>
      <w:pPr>
        <w:pStyle w:val="ListBullet"/>
        <w:widowControl/>
        <w:spacing w:after="40" w:line="250" w:lineRule="auto"/>
      </w:pPr>
      <w:r>
        <w:t>What verified event density, customer repeat behavior, organizer retention, and promoter sales contribution must be reached before a new city opens?</w:t>
      </w:r>
    </w:p>
    <w:p>
      <w:pPr>
        <w:pStyle w:val="ListBullet"/>
        <w:widowControl/>
        <w:spacing w:after="40" w:line="250" w:lineRule="auto"/>
      </w:pPr>
      <w:r>
        <w:t>Which Connect configuration leaves venue and platform obligations unambiguous, and what reserves and negative-balance controls are appropriate for nightlife risk?</w:t>
      </w:r>
    </w:p>
    <w:p>
      <w:pPr>
        <w:pStyle w:val="ListBullet"/>
        <w:widowControl/>
        <w:spacing w:after="40" w:line="250" w:lineRule="auto"/>
      </w:pPr>
      <w:r>
        <w:t>Can the model achieve positive contribution by event cohort after acquisition, rewards, disputes, support, infrastructure and payment costs—not merely positive fee revenue?</w:t>
      </w:r>
    </w:p>
    <w:p>
      <w:pPr>
        <w:pStyle w:val="ListBullet"/>
        <w:widowControl/>
        <w:spacing w:after="40" w:line="250" w:lineRule="auto"/>
      </w:pPr>
      <w:r>
        <w:t>Which provider SLAs, data processing terms, email/SMS consent operations and incident response expectations are required for institutional diligence?</w:t>
      </w:r>
    </w:p>
    <w:p>
      <w:pPr>
        <w:pStyle w:val="Heading2"/>
        <w:widowControl/>
      </w:pPr>
      <w:r>
        <w:rPr>
          <w:color w:val="000000"/>
        </w:rPr>
        <w:t>Conclusion</w:t>
      </w:r>
    </w:p>
    <w:p>
      <w:pPr>
        <w:widowControl/>
      </w:pPr>
      <w:r>
        <w:rPr>
          <w:i w:val="0"/>
        </w:rPr>
        <w:t>Nitewide’s opportunity is to pair nightlife discovery with venue-grade operations and traceable, person-level promotion. The implementation approach prioritizes one consistent event record, explicit money and capacity invariants, tightly bounded integrations, and measurable Florida launch gates. The next proof point is not a feature count: it is a reliable, legally reviewed, economically transparent live transaction and admission loop repeated by independent organizers and customers.</w:t>
      </w:r>
    </w:p>
    <w:p>
      <w:pPr>
        <w:widowControl/>
      </w:pPr>
      <w:r>
        <w:br w:type="page"/>
      </w:r>
    </w:p>
    <w:p>
      <w:pPr>
        <w:pStyle w:val="Heading1"/>
        <w:widowControl/>
      </w:pPr>
      <w:r>
        <w:rPr>
          <w:color w:val="000000"/>
        </w:rPr>
        <w:t>Sources and methodological notes</w:t>
      </w:r>
    </w:p>
    <w:p>
      <w:pPr>
        <w:widowControl/>
      </w:pPr>
      <w:r>
        <w:rPr>
          <w:i w:val="0"/>
        </w:rPr>
        <w:t>Internal product and roadmap sources were reviewed September 23, 2026. Public competitor and vendor documentation was accessed September 23, 2026. Product claims are tagged as demo, policy, or planned; competitor cells reflect only the linked public materials. Rates are snapshots, not legal, tax, processor, or commercial advice.</w:t>
      </w:r>
    </w:p>
    <w:p>
      <w:pPr>
        <w:widowControl/>
        <w:spacing w:after="60" w:line="240" w:lineRule="auto"/>
      </w:pPr>
      <w:r>
        <w:rPr>
          <w:b/>
          <w:sz w:val="16"/>
        </w:rPr>
        <w:t xml:space="preserve">[1] Repository README and architecture overview. </w:t>
      </w:r>
      <w:r>
        <w:rPr>
          <w:color w:val="5D5865"/>
          <w:sz w:val="16"/>
        </w:rPr>
        <w:t>Internal source: README.md; app map, local API/database, test and demo boundaries.</w:t>
      </w:r>
    </w:p>
    <w:p>
      <w:pPr>
        <w:widowControl/>
        <w:spacing w:after="80" w:line="240" w:lineRule="auto"/>
      </w:pPr>
      <w:r>
        <w:rPr>
          <w:b w:val="0"/>
          <w:color w:val="303039"/>
          <w:sz w:val="18"/>
        </w:rPr>
        <w:t>[2] Approved pricing policy and shared engine, September 23, 2026. Internal sources: docs/FEE_POLICY.md; docs/MARGIN_PROTECTED_PRICING_DESIGN.md; apps/pricing/index.cjs. Version 2026-09-23-competitive-v2 supersedes earlier order-level fees and organizer-paid processing.</w:t>
      </w:r>
    </w:p>
    <w:p>
      <w:pPr>
        <w:widowControl/>
        <w:spacing w:after="60" w:line="240" w:lineRule="auto"/>
      </w:pPr>
      <w:r>
        <w:rPr>
          <w:b/>
          <w:sz w:val="16"/>
        </w:rPr>
        <w:t xml:space="preserve">[3] Event referral links and demo commerce. </w:t>
      </w:r>
      <w:r>
        <w:rPr>
          <w:color w:val="5D5865"/>
          <w:sz w:val="16"/>
        </w:rPr>
        <w:t>Internal source: docs/REFERRALS_AND_DEMO_COMMERCE.md; referral attribution and mock checkout semantics.</w:t>
      </w:r>
    </w:p>
    <w:p>
      <w:pPr>
        <w:widowControl/>
        <w:spacing w:after="60" w:line="240" w:lineRule="auto"/>
      </w:pPr>
      <w:r>
        <w:rPr>
          <w:b/>
          <w:sz w:val="16"/>
        </w:rPr>
        <w:t xml:space="preserve">[4] Guestlist invitations and in-app notifications. </w:t>
      </w:r>
      <w:r>
        <w:rPr>
          <w:color w:val="5D5865"/>
          <w:sz w:val="16"/>
        </w:rPr>
        <w:t>Internal source: docs/GUESTLIST_INVITES_NOTIFICATIONS.md; guestlist permissions and production gaps.</w:t>
      </w:r>
    </w:p>
    <w:p>
      <w:pPr>
        <w:widowControl/>
        <w:spacing w:after="60" w:line="240" w:lineRule="auto"/>
      </w:pPr>
      <w:r>
        <w:rPr>
          <w:b/>
          <w:sz w:val="16"/>
        </w:rPr>
        <w:t xml:space="preserve">[5] POSH pricing and platform. </w:t>
      </w:r>
      <w:hyperlink r:id="rId11">
        <w:r>
          <w:rPr>
            <w:color w:val="7E294D"/>
            <w:u w:val="single"/>
          </w:rPr>
          <w:t>https://posh.vip/university/post/ticketing-platform-fashion-shows-nightclub-events-faq</w:t>
        </w:r>
      </w:hyperlink>
    </w:p>
    <w:p>
      <w:pPr>
        <w:widowControl/>
        <w:spacing w:after="60" w:line="240" w:lineRule="auto"/>
      </w:pPr>
      <w:r>
        <w:rPr>
          <w:b/>
          <w:sz w:val="16"/>
        </w:rPr>
        <w:t xml:space="preserve">[6] POSH marketplace overview and published fee comparison. </w:t>
      </w:r>
      <w:hyperlink r:id="rId12">
        <w:r>
          <w:rPr>
            <w:color w:val="7E294D"/>
            <w:u w:val="single"/>
          </w:rPr>
          <w:t>https://posh.vip/university/post/event-marketplaces-where-posh-fits-and-where-it-does-not</w:t>
        </w:r>
      </w:hyperlink>
    </w:p>
    <w:p>
      <w:pPr>
        <w:widowControl/>
        <w:spacing w:after="60" w:line="240" w:lineRule="auto"/>
      </w:pPr>
      <w:r>
        <w:rPr>
          <w:b/>
          <w:sz w:val="16"/>
        </w:rPr>
        <w:t xml:space="preserve">[7] Discotech venue partner model. </w:t>
      </w:r>
      <w:hyperlink r:id="rId13">
        <w:r>
          <w:rPr>
            <w:color w:val="7E294D"/>
            <w:u w:val="single"/>
          </w:rPr>
          <w:t>https://discotech.me/get-your-venue-listed/</w:t>
        </w:r>
      </w:hyperlink>
    </w:p>
    <w:p>
      <w:pPr>
        <w:widowControl/>
        <w:spacing w:after="60" w:line="240" w:lineRule="auto"/>
      </w:pPr>
      <w:r>
        <w:rPr>
          <w:b/>
          <w:sz w:val="16"/>
        </w:rPr>
        <w:t xml:space="preserve">[8] Eventbrite pricing plans. </w:t>
      </w:r>
      <w:hyperlink r:id="rId14">
        <w:r>
          <w:rPr>
            <w:color w:val="7E294D"/>
            <w:u w:val="single"/>
          </w:rPr>
          <w:t>https://www.eventbrite.com/help/en-us/articles/193833/</w:t>
        </w:r>
      </w:hyperlink>
    </w:p>
    <w:p>
      <w:pPr>
        <w:widowControl/>
        <w:spacing w:after="60" w:line="240" w:lineRule="auto"/>
      </w:pPr>
      <w:r>
        <w:rPr>
          <w:b/>
          <w:sz w:val="16"/>
        </w:rPr>
        <w:t xml:space="preserve">[9] Eventbrite US ticketing fees. </w:t>
      </w:r>
      <w:hyperlink r:id="rId15">
        <w:r>
          <w:rPr>
            <w:color w:val="7E294D"/>
            <w:u w:val="single"/>
          </w:rPr>
          <w:t>https://www.eventbrite.com/help/en-us/articles/755615/how-much-does-it-cost-for-organizers-to-use-eventbrite/</w:t>
        </w:r>
      </w:hyperlink>
    </w:p>
    <w:p>
      <w:pPr>
        <w:widowControl/>
        <w:spacing w:after="60" w:line="240" w:lineRule="auto"/>
      </w:pPr>
      <w:r>
        <w:rPr>
          <w:b/>
          <w:sz w:val="16"/>
        </w:rPr>
        <w:t xml:space="preserve">[10] Sections website and official App Store listing. </w:t>
      </w:r>
      <w:hyperlink r:id="rId16">
        <w:r>
          <w:rPr>
            <w:color w:val="7E294D"/>
            <w:u w:val="single"/>
          </w:rPr>
          <w:t>https://www.sectionsapp.com/ and https://apps.apple.com/us/app/sections-tables-events/id6755155921</w:t>
        </w:r>
      </w:hyperlink>
    </w:p>
    <w:p>
      <w:pPr>
        <w:widowControl/>
        <w:spacing w:after="60" w:line="240" w:lineRule="auto"/>
      </w:pPr>
      <w:r>
        <w:rPr>
          <w:b/>
          <w:sz w:val="16"/>
        </w:rPr>
        <w:t xml:space="preserve">[11] Render web services. </w:t>
      </w:r>
      <w:hyperlink r:id="rId17">
        <w:r>
          <w:rPr>
            <w:color w:val="7E294D"/>
            <w:u w:val="single"/>
          </w:rPr>
          <w:t>https://render.com/docs/web-services</w:t>
        </w:r>
      </w:hyperlink>
    </w:p>
    <w:p>
      <w:pPr>
        <w:widowControl/>
        <w:spacing w:after="60" w:line="240" w:lineRule="auto"/>
      </w:pPr>
      <w:r>
        <w:rPr>
          <w:b/>
          <w:sz w:val="16"/>
        </w:rPr>
        <w:t xml:space="preserve">[12] Render service types and background workers. </w:t>
      </w:r>
      <w:hyperlink r:id="rId18">
        <w:r>
          <w:rPr>
            <w:color w:val="7E294D"/>
            <w:u w:val="single"/>
          </w:rPr>
          <w:t>https://render.com/docs/service-types and https://render.com/docs/background-workers</w:t>
        </w:r>
      </w:hyperlink>
    </w:p>
    <w:p>
      <w:pPr>
        <w:widowControl/>
        <w:spacing w:after="60" w:line="240" w:lineRule="auto"/>
      </w:pPr>
      <w:r>
        <w:rPr>
          <w:b/>
          <w:sz w:val="16"/>
        </w:rPr>
        <w:t xml:space="preserve">[13] Upstash BullMQ integration. </w:t>
      </w:r>
      <w:hyperlink r:id="rId19">
        <w:r>
          <w:rPr>
            <w:color w:val="7E294D"/>
            <w:u w:val="single"/>
          </w:rPr>
          <w:t>https://upstash.com/docs/redis/integrations/bullmq</w:t>
        </w:r>
      </w:hyperlink>
    </w:p>
    <w:p>
      <w:pPr>
        <w:widowControl/>
        <w:spacing w:after="60" w:line="240" w:lineRule="auto"/>
      </w:pPr>
      <w:r>
        <w:rPr>
          <w:b/>
          <w:sz w:val="16"/>
        </w:rPr>
        <w:t xml:space="preserve">[14] Upstash use cases and Redis compatibility. </w:t>
      </w:r>
      <w:hyperlink r:id="rId20">
        <w:r>
          <w:rPr>
            <w:color w:val="7E294D"/>
            <w:u w:val="single"/>
          </w:rPr>
          <w:t>https://upstash.com/docs/redis/overall/usecases</w:t>
        </w:r>
      </w:hyperlink>
    </w:p>
    <w:p>
      <w:pPr>
        <w:widowControl/>
        <w:spacing w:after="60" w:line="240" w:lineRule="auto"/>
      </w:pPr>
      <w:r>
        <w:rPr>
          <w:b/>
          <w:sz w:val="16"/>
        </w:rPr>
        <w:t xml:space="preserve">[15] Stripe Connect SaaS and platform guide. </w:t>
      </w:r>
      <w:hyperlink r:id="rId21">
        <w:r>
          <w:rPr>
            <w:color w:val="7E294D"/>
            <w:u w:val="single"/>
          </w:rPr>
          <w:t>https://docs.stripe.com/connect/enable-payment-acceptance-guide</w:t>
        </w:r>
      </w:hyperlink>
    </w:p>
    <w:p>
      <w:pPr>
        <w:widowControl/>
        <w:spacing w:after="60" w:line="240" w:lineRule="auto"/>
      </w:pPr>
      <w:r>
        <w:rPr>
          <w:b/>
          <w:sz w:val="16"/>
        </w:rPr>
        <w:t xml:space="preserve">[16] Stripe Connect direct charges. </w:t>
      </w:r>
      <w:hyperlink r:id="rId22">
        <w:r>
          <w:rPr>
            <w:color w:val="7E294D"/>
            <w:u w:val="single"/>
          </w:rPr>
          <w:t>https://docs.stripe.com/connect/charges</w:t>
        </w:r>
      </w:hyperlink>
    </w:p>
    <w:p>
      <w:pPr>
        <w:widowControl/>
        <w:spacing w:after="60" w:line="240" w:lineRule="auto"/>
      </w:pPr>
      <w:r>
        <w:rPr>
          <w:b/>
          <w:sz w:val="16"/>
        </w:rPr>
        <w:t xml:space="preserve">[17] Stripe Connect account responsibilities. </w:t>
      </w:r>
      <w:hyperlink r:id="rId23">
        <w:r>
          <w:rPr>
            <w:color w:val="7E294D"/>
            <w:u w:val="single"/>
          </w:rPr>
          <w:t>https://docs.stripe.com/connect/accounts-v2/connected-account-configuration</w:t>
        </w:r>
      </w:hyperlink>
    </w:p>
    <w:p>
      <w:pPr>
        <w:widowControl/>
        <w:spacing w:after="60" w:line="240" w:lineRule="auto"/>
      </w:pPr>
      <w:r>
        <w:rPr>
          <w:b/>
          <w:sz w:val="16"/>
        </w:rPr>
        <w:t xml:space="preserve">[18] Resend email API. </w:t>
      </w:r>
      <w:hyperlink r:id="rId24">
        <w:r>
          <w:rPr>
            <w:color w:val="7E294D"/>
            <w:u w:val="single"/>
          </w:rPr>
          <w:t>https://resend.com/features/email-api</w:t>
        </w:r>
      </w:hyperlink>
    </w:p>
    <w:p>
      <w:pPr>
        <w:widowControl/>
        <w:spacing w:after="60" w:line="240" w:lineRule="auto"/>
      </w:pPr>
      <w:r>
        <w:rPr>
          <w:b/>
          <w:sz w:val="16"/>
        </w:rPr>
        <w:t xml:space="preserve">[19] Plivo messaging compliance. </w:t>
      </w:r>
      <w:hyperlink r:id="rId25">
        <w:r>
          <w:rPr>
            <w:color w:val="7E294D"/>
            <w:u w:val="single"/>
          </w:rPr>
          <w:t>https://www.plivo.com/docs/faq/messaging/messaging-compliance</w:t>
        </w:r>
      </w:hyperlink>
    </w:p>
    <w:p>
      <w:pPr>
        <w:widowControl/>
        <w:spacing w:after="60" w:line="240" w:lineRule="auto"/>
      </w:pPr>
      <w:r>
        <w:rPr>
          <w:b/>
          <w:sz w:val="16"/>
        </w:rPr>
        <w:t xml:space="preserve">[20] Cloudflare R2 presigned URLs. </w:t>
      </w:r>
      <w:hyperlink r:id="rId26">
        <w:r>
          <w:rPr>
            <w:color w:val="7E294D"/>
            <w:u w:val="single"/>
          </w:rPr>
          <w:t>https://developers.cloudflare.com/r2/api/s3/presigned-urls/</w:t>
        </w:r>
      </w:hyperlink>
    </w:p>
    <w:p>
      <w:pPr>
        <w:widowControl/>
        <w:spacing w:after="60" w:line="240" w:lineRule="auto"/>
      </w:pPr>
      <w:r>
        <w:rPr>
          <w:b/>
          <w:sz w:val="16"/>
        </w:rPr>
        <w:t xml:space="preserve">[21] Cloudflare R2 uploading objects. </w:t>
      </w:r>
      <w:hyperlink r:id="rId27">
        <w:r>
          <w:rPr>
            <w:color w:val="7E294D"/>
            <w:u w:val="single"/>
          </w:rPr>
          <w:t>https://developers.cloudflare.com/r2/objects/upload-objects/</w:t>
        </w:r>
      </w:hyperlink>
    </w:p>
    <w:p>
      <w:pPr>
        <w:widowControl/>
        <w:spacing w:after="60" w:line="240" w:lineRule="auto"/>
      </w:pPr>
      <w:r>
        <w:rPr>
          <w:b/>
          <w:sz w:val="16"/>
        </w:rPr>
        <w:t xml:space="preserve">[22] GlitchTip documentation. </w:t>
      </w:r>
      <w:hyperlink r:id="rId28">
        <w:r>
          <w:rPr>
            <w:color w:val="7E294D"/>
            <w:u w:val="single"/>
          </w:rPr>
          <w:t>https://glitchtip.com/documentation/</w:t>
        </w:r>
      </w:hyperlink>
    </w:p>
    <w:p>
      <w:pPr>
        <w:widowControl/>
        <w:spacing w:after="60" w:line="240" w:lineRule="auto"/>
      </w:pPr>
      <w:r>
        <w:rPr>
          <w:b/>
          <w:sz w:val="16"/>
        </w:rPr>
        <w:t xml:space="preserve">[23] GlitchTip JavaScript/Node SDK documentation. </w:t>
      </w:r>
      <w:hyperlink r:id="rId29">
        <w:r>
          <w:rPr>
            <w:color w:val="7E294D"/>
            <w:u w:val="single"/>
          </w:rPr>
          <w:t>https://glitchtip.com/sdkdocs/</w:t>
        </w:r>
      </w:hyperlink>
    </w:p>
    <w:p>
      <w:pPr>
        <w:widowControl/>
        <w:spacing w:after="60" w:line="240" w:lineRule="auto"/>
      </w:pPr>
      <w:r>
        <w:rPr>
          <w:b/>
          <w:sz w:val="16"/>
        </w:rPr>
        <w:t xml:space="preserve">[24] Stripe U.S. processing pricing. </w:t>
      </w:r>
      <w:hyperlink r:id="rId30">
        <w:r>
          <w:rPr>
            <w:color w:val="7E294D"/>
            <w:u w:val="single"/>
          </w:rPr>
          <w:t>https://stripe.com/pricing</w:t>
        </w:r>
      </w:hyperlink>
    </w:p>
    <w:p>
      <w:pPr>
        <w:widowControl/>
        <w:spacing w:after="60" w:line="240" w:lineRule="auto"/>
      </w:pPr>
      <w:r>
        <w:rPr>
          <w:b/>
          <w:sz w:val="16"/>
        </w:rPr>
        <w:t xml:space="preserve">[25] Eventbrite merchant agreement. </w:t>
      </w:r>
      <w:hyperlink r:id="rId31">
        <w:r>
          <w:rPr>
            <w:color w:val="7E294D"/>
            <w:u w:val="single"/>
          </w:rPr>
          <w:t>https://www.eventbrite.com/help/en-us/articles/346993/</w:t>
        </w:r>
      </w:hyperlink>
    </w:p>
    <w:p>
      <w:pPr>
        <w:widowControl/>
        <w:spacing w:after="80" w:line="240" w:lineRule="auto"/>
      </w:pPr>
      <w:r>
        <w:rPr>
          <w:b w:val="0"/>
          <w:color w:val="303039"/>
          <w:sz w:val="18"/>
        </w:rPr>
        <w:t>[26] Nitewide technical roadmap. Internal sources: docs/PRODUCT_ROADMAP.md and docs/IMPLEMENTATION_PLAN.md. The latest approved fee policy and investor execution target in [2, 30] supersede older planning assumptions.</w:t>
      </w:r>
    </w:p>
    <w:p>
      <w:pPr>
        <w:widowControl/>
        <w:spacing w:after="60" w:line="240" w:lineRule="auto"/>
      </w:pPr>
      <w:r>
        <w:rPr>
          <w:b/>
          <w:sz w:val="16"/>
        </w:rPr>
        <w:t xml:space="preserve">[27] TABLER FAQ. </w:t>
      </w:r>
      <w:hyperlink r:id="rId32">
        <w:r>
          <w:rPr>
            <w:color w:val="7E294D"/>
            <w:u w:val="single"/>
          </w:rPr>
          <w:t>https://www.tablerapp.com/faq</w:t>
        </w:r>
      </w:hyperlink>
    </w:p>
    <w:p>
      <w:pPr>
        <w:spacing w:after="80"/>
      </w:pPr>
      <w:r>
        <w:rPr>
          <w:b w:val="0"/>
          <w:color w:val="303039"/>
          <w:sz w:val="18"/>
        </w:rPr>
        <w:t>[28] Posh affiliate capabilities. https://support.posh.vip/en/articles/15077378-the-ultimate-guide-to-kickback-affiliates ; https://posh.vip/platform</w:t>
      </w:r>
    </w:p>
    <w:p>
      <w:pPr>
        <w:spacing w:after="80"/>
      </w:pPr>
      <w:r>
        <w:rPr>
          <w:b w:val="0"/>
          <w:color w:val="303039"/>
          <w:sz w:val="18"/>
        </w:rPr>
        <w:t>[29] Eventbrite feature catalog. https://www.eventbrite.com/organizer/features/all-features/</w:t>
      </w:r>
    </w:p>
    <w:p>
      <w:pPr>
        <w:spacing w:after="80"/>
      </w:pPr>
      <w:r>
        <w:rPr>
          <w:b w:val="0"/>
          <w:color w:val="303039"/>
          <w:sz w:val="18"/>
        </w:rPr>
        <w:t>[30] Nitewide PreSeed Investor Deck v13, September 23, 2026. Internal source: approved pricing, competitive matrix, proposed $5M allocation and six-month execution target. Forecasts and commercial validation remain prospective.</w:t>
      </w:r>
    </w:p>
    <w:sectPr w:rsidR="00FC693F" w:rsidRPr="0006063C" w:rsidSect="00034616">
      <w:headerReference w:type="default" r:id="rId9"/>
      <w:footerReference w:type="default" r:id="rId10"/>
      <w:pgSz w:w="12240" w:h="15840"/>
      <w:pgMar w:top="979" w:right="1037" w:bottom="979" w:left="1037"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NITEWIDE  /  PLATFORM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1715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osh.vip/university/post/ticketing-platform-fashion-shows-nightclub-events-faq" TargetMode="External"/><Relationship Id="rId12" Type="http://schemas.openxmlformats.org/officeDocument/2006/relationships/hyperlink" Target="https://posh.vip/university/post/event-marketplaces-where-posh-fits-and-where-it-does-not" TargetMode="External"/><Relationship Id="rId13" Type="http://schemas.openxmlformats.org/officeDocument/2006/relationships/hyperlink" Target="https://discotech.me/get-your-venue-listed/" TargetMode="External"/><Relationship Id="rId14" Type="http://schemas.openxmlformats.org/officeDocument/2006/relationships/hyperlink" Target="https://www.eventbrite.com/help/en-us/articles/193833/" TargetMode="External"/><Relationship Id="rId15" Type="http://schemas.openxmlformats.org/officeDocument/2006/relationships/hyperlink" Target="https://www.eventbrite.com/help/en-us/articles/755615/how-much-does-it-cost-for-organizers-to-use-eventbrite/" TargetMode="External"/><Relationship Id="rId16" Type="http://schemas.openxmlformats.org/officeDocument/2006/relationships/hyperlink" Target="https://www.sectionsapp.com/ and https://apps.apple.com/us/app/sections-tables-events/id6755155921" TargetMode="External"/><Relationship Id="rId17" Type="http://schemas.openxmlformats.org/officeDocument/2006/relationships/hyperlink" Target="https://render.com/docs/web-services" TargetMode="External"/><Relationship Id="rId18" Type="http://schemas.openxmlformats.org/officeDocument/2006/relationships/hyperlink" Target="https://render.com/docs/service-types and https://render.com/docs/background-workers" TargetMode="External"/><Relationship Id="rId19" Type="http://schemas.openxmlformats.org/officeDocument/2006/relationships/hyperlink" Target="https://upstash.com/docs/redis/integrations/bullmq" TargetMode="External"/><Relationship Id="rId20" Type="http://schemas.openxmlformats.org/officeDocument/2006/relationships/hyperlink" Target="https://upstash.com/docs/redis/overall/usecases" TargetMode="External"/><Relationship Id="rId21" Type="http://schemas.openxmlformats.org/officeDocument/2006/relationships/hyperlink" Target="https://docs.stripe.com/connect/enable-payment-acceptance-guide" TargetMode="External"/><Relationship Id="rId22" Type="http://schemas.openxmlformats.org/officeDocument/2006/relationships/hyperlink" Target="https://docs.stripe.com/connect/charges" TargetMode="External"/><Relationship Id="rId23" Type="http://schemas.openxmlformats.org/officeDocument/2006/relationships/hyperlink" Target="https://docs.stripe.com/connect/accounts-v2/connected-account-configuration" TargetMode="External"/><Relationship Id="rId24" Type="http://schemas.openxmlformats.org/officeDocument/2006/relationships/hyperlink" Target="https://resend.com/features/email-api" TargetMode="External"/><Relationship Id="rId25" Type="http://schemas.openxmlformats.org/officeDocument/2006/relationships/hyperlink" Target="https://www.plivo.com/docs/faq/messaging/messaging-compliance" TargetMode="External"/><Relationship Id="rId26" Type="http://schemas.openxmlformats.org/officeDocument/2006/relationships/hyperlink" Target="https://developers.cloudflare.com/r2/api/s3/presigned-urls/" TargetMode="External"/><Relationship Id="rId27" Type="http://schemas.openxmlformats.org/officeDocument/2006/relationships/hyperlink" Target="https://developers.cloudflare.com/r2/objects/upload-objects/" TargetMode="External"/><Relationship Id="rId28" Type="http://schemas.openxmlformats.org/officeDocument/2006/relationships/hyperlink" Target="https://glitchtip.com/documentation/" TargetMode="External"/><Relationship Id="rId29" Type="http://schemas.openxmlformats.org/officeDocument/2006/relationships/hyperlink" Target="https://glitchtip.com/sdkdocs/" TargetMode="External"/><Relationship Id="rId30" Type="http://schemas.openxmlformats.org/officeDocument/2006/relationships/hyperlink" Target="https://stripe.com/pricing" TargetMode="External"/><Relationship Id="rId31" Type="http://schemas.openxmlformats.org/officeDocument/2006/relationships/hyperlink" Target="https://www.eventbrite.com/help/en-us/articles/346993/" TargetMode="External"/><Relationship Id="rId32" Type="http://schemas.openxmlformats.org/officeDocument/2006/relationships/hyperlink" Target="https://www.tablerapp.com/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Nitewide Technical Whitepaper</dc:title>
  <dc:subject>Platform capabilities architecture and approved pricing</dc:subject>
  <dc:creator>Nitewide</dc:creator>
  <cp:keywords>Nitewide, nightlife, marketplace, ticketing, Stripe Connect, platform architecture</cp:keywords>
  <dc:description/>
  <cp:lastModifiedBy/>
  <cp:revision>1</cp:revision>
  <dcterms:created xsi:type="dcterms:W3CDTF">2013-12-23T23:15:00Z</dcterms:created>
  <dcterms:modified xsi:type="dcterms:W3CDTF">2013-12-23T23:15:00Z</dcterms:modified>
  <cp:category/>
</cp:coreProperties>
</file>