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color w:val="64748B"/>
          <w:sz w:val="24"/>
        </w:rPr>
        <w:t>FLOW~ : AX Design Lab</w:t>
      </w:r>
    </w:p>
    <w:p/>
    <w:p/>
    <w:p>
      <w:pPr>
        <w:jc w:val="center"/>
      </w:pPr>
      <w:r>
        <w:rPr>
          <w:rFonts w:ascii="맑은 고딕" w:hAnsi="맑은 고딕" w:eastAsia="맑은 고딕"/>
          <w:b/>
          <w:color w:val="0F1535"/>
          <w:sz w:val="56"/>
        </w:rPr>
        <w:t>{{고객사명}}의 AI 전환,</w:t>
      </w:r>
    </w:p>
    <w:p>
      <w:pPr>
        <w:jc w:val="center"/>
      </w:pPr>
      <w:r>
        <w:rPr>
          <w:rFonts w:ascii="맑은 고딕" w:hAnsi="맑은 고딕" w:eastAsia="맑은 고딕"/>
          <w:b/>
          <w:color w:val="0F1535"/>
          <w:sz w:val="56"/>
        </w:rPr>
        <w:t>'도구 도입'이 아닌 '</w:t>
      </w:r>
      <w:r>
        <w:rPr>
          <w:rFonts w:ascii="맑은 고딕" w:hAnsi="맑은 고딕" w:eastAsia="맑은 고딕"/>
          <w:b/>
          <w:color w:val="F96167"/>
          <w:sz w:val="56"/>
        </w:rPr>
        <w:t>사람의 전환</w:t>
      </w:r>
      <w:r>
        <w:rPr>
          <w:rFonts w:ascii="맑은 고딕" w:hAnsi="맑은 고딕" w:eastAsia="맑은 고딕"/>
          <w:b/>
          <w:color w:val="0F1535"/>
          <w:sz w:val="56"/>
        </w:rPr>
        <w:t>'으로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1E2761"/>
          <w:sz w:val="36"/>
        </w:rPr>
        <w:t>FLOW~ AX 컨설팅 제안서</w:t>
      </w:r>
    </w:p>
    <w:p>
      <w:pPr>
        <w:jc w:val="center"/>
      </w:pPr>
      <w:r>
        <w:rPr>
          <w:rFonts w:ascii="맑은 고딕" w:hAnsi="맑은 고딕" w:eastAsia="맑은 고딕"/>
          <w:color w:val="64748B"/>
          <w:sz w:val="22"/>
        </w:rPr>
        <w:t>{{발송일자}}  |  담당 파트너 Demian (임정훈)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01. 왜 지금 AX인가</w:t>
      </w:r>
    </w:p>
    <w:p>
      <w:pPr>
        <w:pBdr>
          <w:bottom w:val="single" w:sz="8" w:space="1" w:color="1E2761"/>
        </w:pBdr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8"/>
        </w:rPr>
        <w:t>생성형 AI 2년차, 게임이 바뀌었습니다.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64748B"/>
          <w:sz w:val="24"/>
        </w:rPr>
        <w:t>"AI 도입"의 시대는 끝났습니다. 이제 "AI 전환(AX)"의 시대입니다.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지표</w:t>
            </w:r>
          </w:p>
        </w:tc>
        <w:tc>
          <w:tcPr>
            <w:tcW w:type="dxa" w:w="3969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내용</w:t>
            </w:r>
          </w:p>
        </w:tc>
        <w:tc>
          <w:tcPr>
            <w:tcW w:type="dxa" w:w="3685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출처/의미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83%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한국 기업 생성형 AI 도입 실험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McKinsey 2025</w:t>
            </w:r>
          </w:p>
        </w:tc>
      </w:tr>
      <w:tr>
        <w:tc>
          <w:tcPr>
            <w:tcW w:type="dxa" w:w="170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7% 미만</w:t>
            </w:r>
          </w:p>
        </w:tc>
        <w:tc>
          <w:tcPr>
            <w:tcW w:type="dxa" w:w="3969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전환에 성공한 조직 비율</w:t>
            </w:r>
          </w:p>
        </w:tc>
        <w:tc>
          <w:tcPr>
            <w:tcW w:type="dxa" w:w="3685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AI 도입의 역설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2026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전환 격차(Transformation Gap) 원년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EU AI Act · 국내 AI기본법 시행</w:t>
            </w:r>
          </w:p>
        </w:tc>
      </w:tr>
    </w:tbl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3가지 신호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생산성 변곡점 — 단순 사용에서 업무 재설계 단계로 전환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인재 지형 재편 — AI 활용 리터러시가 승진·채용의 표준이 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거버넌스 의무화 — EU AI Act, 국내 AI기본법(2026) 시행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1E27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AX는 더 이상 '선택'이 아니라 '생존 전략'입니다.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02. {{고객사명}} 상황 진단</w:t>
      </w:r>
    </w:p>
    <w:p>
      <w:pPr>
        <w:pBdr>
          <w:bottom w:val="single" w:sz="8" w:space="1" w:color="1E2761"/>
        </w:pBdr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4"/>
        </w:rPr>
        <w:t>우리가 이해한 {{고객사명}}의 현재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영역</w:t>
            </w:r>
          </w:p>
        </w:tc>
        <w:tc>
          <w:tcPr>
            <w:tcW w:type="dxa" w:w="3685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현황</w:t>
            </w:r>
          </w:p>
        </w:tc>
        <w:tc>
          <w:tcPr>
            <w:tcW w:type="dxa" w:w="3969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페인포인트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업무/생산성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{{업무현황}}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{{핵심페인}}</w:t>
            </w:r>
          </w:p>
        </w:tc>
      </w:tr>
      <w:tr>
        <w:tc>
          <w:tcPr>
            <w:tcW w:type="dxa" w:w="170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AI 활용 수준</w:t>
            </w:r>
          </w:p>
        </w:tc>
        <w:tc>
          <w:tcPr>
            <w:tcW w:type="dxa" w:w="3685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{{AI수준}}</w:t>
            </w:r>
          </w:p>
        </w:tc>
        <w:tc>
          <w:tcPr>
            <w:tcW w:type="dxa" w:w="3969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Shadow AI · 부서별 격차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인력/문화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{{인력현황}}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변화 피로 · 세대 간 격차</w:t>
            </w:r>
          </w:p>
        </w:tc>
      </w:tr>
      <w:tr>
        <w:tc>
          <w:tcPr>
            <w:tcW w:type="dxa" w:w="170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거버넌스</w:t>
            </w:r>
          </w:p>
        </w:tc>
        <w:tc>
          <w:tcPr>
            <w:tcW w:type="dxa" w:w="3685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{{거버넌스}}</w:t>
            </w:r>
          </w:p>
        </w:tc>
        <w:tc>
          <w:tcPr>
            <w:tcW w:type="dxa" w:w="3969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정책 공백 · 보안 우려</w:t>
            </w:r>
          </w:p>
        </w:tc>
      </w:tr>
    </w:tbl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{{고객사명}}이 풀어야 할 진짜 질문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6"/>
        </w:rPr>
        <w:t>"어떤 AI 도구를 살 것인가"가 아니라,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F96167"/>
          <w:sz w:val="26"/>
        </w:rPr>
        <w:t>"우리 조직의 일하는 방식을 어떻게 다시 설계할 것인가"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64748B"/>
          <w:sz w:val="20"/>
        </w:rPr>
        <w:t>(본 슬라이드는 사전 1차 인터뷰 후 구체 수치로 업데이트)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03. 기존 접근의 한계 — 3대 함정</w:t>
      </w:r>
    </w:p>
    <w:p>
      <w:pPr>
        <w:pBdr>
          <w:bottom w:val="single" w:sz="8" w:space="1" w:color="1E2761"/>
        </w:pBdr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F96167"/>
          <w:sz w:val="32"/>
        </w:rPr>
        <w:t>함정 1. 도구 중심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"라이선스를 사면 변화가 온다"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→ 샀는데 아무도 안 쓴다.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F96167"/>
          <w:sz w:val="32"/>
        </w:rPr>
        <w:t>함정 2. 일회성 교육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"1일 특강으로 AI 이해시킨다"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→ 다음 날 잊힌다.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F96167"/>
          <w:sz w:val="32"/>
        </w:rPr>
        <w:t>함정 3. IT 부서 주도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"AI는 기술팀의 일"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→ 현업은 방관자가 된다.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FLOW~의 관점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4"/>
        </w:rPr>
        <w:t>AX는 교육(E) + 퍼실리테이션(F) + 코칭(C) + 컨설팅(Co)의 통합 설계로만 성공합니다.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0F1535"/>
          <w:sz w:val="24"/>
        </w:rPr>
        <w:t>그리고 주인공은 IT가 아닌 현업 조직과 사람입니다.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04. FLOW~ AX 방법론 — 7단계 전환 플로우</w:t>
      </w:r>
    </w:p>
    <w:p>
      <w:pPr>
        <w:pBdr>
          <w:bottom w:val="single" w:sz="8" w:space="1" w:color="1E2761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단계</w:t>
            </w:r>
          </w:p>
        </w:tc>
        <w:tc>
          <w:tcPr>
            <w:tcW w:type="dxa" w:w="2268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이름</w:t>
            </w:r>
          </w:p>
        </w:tc>
        <w:tc>
          <w:tcPr>
            <w:tcW w:type="dxa" w:w="5669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핵심 활동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Phase -1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준비도 진단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데이터·AI 성숙도 베이스라인</w:t>
            </w:r>
          </w:p>
        </w:tc>
      </w:tr>
      <w:tr>
        <w:tc>
          <w:tcPr>
            <w:tcW w:type="dxa" w:w="1417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Phase 0</w:t>
            </w:r>
          </w:p>
        </w:tc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AI 리터러시</w:t>
            </w:r>
          </w:p>
        </w:tc>
        <w:tc>
          <w:tcPr>
            <w:tcW w:type="dxa" w:w="5669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기본반 + 실무반 (총 12h)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Phase 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RTC 캔버스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Role · Task · Competency 통합 가시화</w:t>
            </w:r>
          </w:p>
        </w:tc>
      </w:tr>
      <w:tr>
        <w:tc>
          <w:tcPr>
            <w:tcW w:type="dxa" w:w="1417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Phase 2</w:t>
            </w:r>
          </w:p>
        </w:tc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ICEP 매트릭스</w:t>
            </w:r>
          </w:p>
        </w:tc>
        <w:tc>
          <w:tcPr>
            <w:tcW w:type="dxa" w:w="5669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Impact · Confidence · Ease · People Readiness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Phase 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AI-Native 재설계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WHY-WHAT-HOW 워크숍, 표준 프롬프트 라이브러리</w:t>
            </w:r>
          </w:p>
        </w:tc>
      </w:tr>
      <w:tr>
        <w:tc>
          <w:tcPr>
            <w:tcW w:type="dxa" w:w="1417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Phase 4</w:t>
            </w:r>
          </w:p>
        </w:tc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파일럿 + 변화관리</w:t>
            </w:r>
          </w:p>
        </w:tc>
        <w:tc>
          <w:tcPr>
            <w:tcW w:type="dxa" w:w="5669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STAR-AR 1:1 코칭, AX Champion 육성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Phase 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측정·확산·거버넌스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EARS 대시보드, ARQ 루틴, NIST AI RMF</w:t>
            </w:r>
          </w:p>
        </w:tc>
      </w:tr>
    </w:tbl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방법론의 3대 원칙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진단 먼저, 도구는 나중 — 업무 지도 없이는 AI도 길을 잃는다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사람이 먼저, 시스템은 나중 — 변화는 기술이 아닌 사람이 만든다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측정 가능·확산 가능 — ROI 4축으로 입증, Wave로 확장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05. 3축 서비스 아키텍처</w:t>
      </w:r>
    </w:p>
    <w:p>
      <w:pPr>
        <w:pBdr>
          <w:bottom w:val="single" w:sz="8" w:space="1" w:color="1E2761"/>
        </w:pBdr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4"/>
        </w:rPr>
        <w:t>교육(E) × 퍼실리테이션(F) × 코칭(C) + 컨설팅(Co) 통합 설계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Level</w:t>
            </w:r>
          </w:p>
        </w:tc>
        <w:tc>
          <w:tcPr>
            <w:tcW w:type="dxa" w:w="2835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교육 (E)</w:t>
            </w:r>
          </w:p>
        </w:tc>
        <w:tc>
          <w:tcPr>
            <w:tcW w:type="dxa" w:w="3118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퍼실리테이션 (F)</w:t>
            </w:r>
          </w:p>
        </w:tc>
        <w:tc>
          <w:tcPr>
            <w:tcW w:type="dxa" w:w="2551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코칭 (C)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Aware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Kickoff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1:1 진단</w:t>
            </w:r>
          </w:p>
        </w:tc>
      </w:tr>
      <w:tr>
        <w:tc>
          <w:tcPr>
            <w:tcW w:type="dxa" w:w="850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L2</w:t>
            </w:r>
          </w:p>
        </w:tc>
        <w:tc>
          <w:tcPr>
            <w:tcW w:type="dxa" w:w="2835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Explore</w:t>
            </w:r>
          </w:p>
        </w:tc>
        <w:tc>
          <w:tcPr>
            <w:tcW w:type="dxa" w:w="311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RTC 워크숍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저항관리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Apply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ICEP 세션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Champion</w:t>
            </w:r>
          </w:p>
        </w:tc>
      </w:tr>
      <w:tr>
        <w:tc>
          <w:tcPr>
            <w:tcW w:type="dxa" w:w="850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L4</w:t>
            </w:r>
          </w:p>
        </w:tc>
        <w:tc>
          <w:tcPr>
            <w:tcW w:type="dxa" w:w="2835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Design</w:t>
            </w:r>
          </w:p>
        </w:tc>
        <w:tc>
          <w:tcPr>
            <w:tcW w:type="dxa" w:w="311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WHY-WHAT-HOW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리더 전환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Lead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파일럿 리뷰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팀 코칭</w:t>
            </w:r>
          </w:p>
        </w:tc>
      </w:tr>
      <w:tr>
        <w:tc>
          <w:tcPr>
            <w:tcW w:type="dxa" w:w="850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L6</w:t>
            </w:r>
          </w:p>
        </w:tc>
        <w:tc>
          <w:tcPr>
            <w:tcW w:type="dxa" w:w="2835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Scale</w:t>
            </w:r>
          </w:p>
        </w:tc>
        <w:tc>
          <w:tcPr>
            <w:tcW w:type="dxa" w:w="311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거버넌스 설계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조직 코칭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1E27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컨설팅(Co) 총괄 — 진단 → 설계 → 실행 → 측정</w:t>
            </w:r>
          </w:p>
        </w:tc>
      </w:tr>
    </w:tbl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왜 3축인가?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교육만으로는 행동이 바뀌지 않는다 → 퍼실이 필요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퍼실만으로는 개인 변화가 굳어지지 않는다 → 코칭이 필요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이 셋을 하나의 플로우로 엮는 것이 컨설팅(Co)의 역할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06. 5패키지 매트릭스</w:t>
      </w:r>
    </w:p>
    <w:p>
      <w:pPr>
        <w:pBdr>
          <w:bottom w:val="single" w:sz="8" w:space="1" w:color="1E2761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패키지</w:t>
            </w:r>
          </w:p>
        </w:tc>
        <w:tc>
          <w:tcPr>
            <w:tcW w:type="dxa" w:w="3402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타겟</w:t>
            </w:r>
          </w:p>
        </w:tc>
        <w:tc>
          <w:tcPr>
            <w:tcW w:type="dxa" w:w="1701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기간</w:t>
            </w:r>
          </w:p>
        </w:tc>
        <w:tc>
          <w:tcPr>
            <w:tcW w:type="dxa" w:w="1984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투자 (원, VAT 별도)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🏢 Enterprise AX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대기업 1000인+ / 전사·사업부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4~8개월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1.5억 ~ 5억</w:t>
            </w:r>
          </w:p>
        </w:tc>
      </w:tr>
      <w:tr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🏬 Mid-Corp AX</w:t>
            </w:r>
          </w:p>
        </w:tc>
        <w:tc>
          <w:tcPr>
            <w:tcW w:type="dxa" w:w="3402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중견 300~1000인 / 부서·팀</w:t>
            </w:r>
          </w:p>
        </w:tc>
        <w:tc>
          <w:tcPr>
            <w:tcW w:type="dxa" w:w="170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2~4개월</w:t>
            </w:r>
          </w:p>
        </w:tc>
        <w:tc>
          <w:tcPr>
            <w:tcW w:type="dxa" w:w="1984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4천 ~ 1.2억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🏪 SME AX Workshop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중소 300인 미만 / PBL 집약형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4~6주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800만 ~ 3천</w:t>
            </w:r>
          </w:p>
        </w:tc>
      </w:tr>
      <w:tr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👔 Leader AX</w:t>
            </w:r>
          </w:p>
        </w:tc>
        <w:tc>
          <w:tcPr>
            <w:tcW w:type="dxa" w:w="3402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임원/팀장급 코호트 10~20</w:t>
            </w:r>
          </w:p>
        </w:tc>
        <w:tc>
          <w:tcPr>
            <w:tcW w:type="dxa" w:w="170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2일~4주</w:t>
            </w:r>
          </w:p>
        </w:tc>
        <w:tc>
          <w:tcPr>
            <w:tcW w:type="dxa" w:w="1984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1500만 ~ 5천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⚡ Quick Start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AI 도입 검토 기업 / 의사결정자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반일~1일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300만 ~ 800만</w:t>
            </w:r>
          </w:p>
        </w:tc>
      </w:tr>
    </w:tbl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{{고객사명}} 추천 — {{추천패키지}}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선정 근거: {{선정근거}}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포함 Phase: {{포함Phase}}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투입 규모: {{투입MD}} MD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주요 산출물: {{산출물목록}}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07. Phase 로드맵 (예시: 12주 Mid-Corp 기준)</w:t>
      </w:r>
    </w:p>
    <w:p>
      <w:pPr>
        <w:pBdr>
          <w:bottom w:val="single" w:sz="8" w:space="1" w:color="1E2761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주차</w:t>
            </w:r>
          </w:p>
        </w:tc>
        <w:tc>
          <w:tcPr>
            <w:tcW w:type="dxa" w:w="2268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669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주요 산출물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W1~2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Phase -1 / 0 시작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데이터·성숙도 진단 리포트</w:t>
            </w:r>
          </w:p>
        </w:tc>
      </w:tr>
      <w:tr>
        <w:tc>
          <w:tcPr>
            <w:tcW w:type="dxa" w:w="1417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W3~4</w:t>
            </w:r>
          </w:p>
        </w:tc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Phase 0 완료</w:t>
            </w:r>
          </w:p>
        </w:tc>
        <w:tc>
          <w:tcPr>
            <w:tcW w:type="dxa" w:w="5669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AI 리터러시 교육 수료증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W5~6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Phase 1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RTC 캔버스 — 핵심 업무 지도화</w:t>
            </w:r>
          </w:p>
        </w:tc>
      </w:tr>
      <w:tr>
        <w:tc>
          <w:tcPr>
            <w:tcW w:type="dxa" w:w="1417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W7~8</w:t>
            </w:r>
          </w:p>
        </w:tc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Phase 2</w:t>
            </w:r>
          </w:p>
        </w:tc>
        <w:tc>
          <w:tcPr>
            <w:tcW w:type="dxa" w:w="5669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ICEP 매트릭스 + Top 5 재설계 과제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W9~10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Phase 3 / 4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To-Be 프로세스 + 파일럿 Kickoff</w:t>
            </w:r>
          </w:p>
        </w:tc>
      </w:tr>
      <w:tr>
        <w:tc>
          <w:tcPr>
            <w:tcW w:type="dxa" w:w="1417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W11~12</w:t>
            </w:r>
          </w:p>
        </w:tc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Phase 4 / 5</w:t>
            </w:r>
          </w:p>
        </w:tc>
        <w:tc>
          <w:tcPr>
            <w:tcW w:type="dxa" w:w="5669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EARS 대시보드 + 확산 로드맵 발표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i/>
          <w:color w:val="64748B"/>
          <w:sz w:val="20"/>
        </w:rPr>
        <w:t>({{고객사명}} 실제 일정은 Kickoff 후 상호 조정)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08. 주요 산출물 샘플</w:t>
      </w:r>
    </w:p>
    <w:p>
      <w:pPr>
        <w:pBdr>
          <w:bottom w:val="single" w:sz="8" w:space="1" w:color="1E2761"/>
        </w:pBdr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RTC 캔버스 (Phase 1)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Role : 책임·권한·역할 기대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Task : 주요 업무 1~15개 (시간비중 %)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Competency : 필요 역량 × 현재 수준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AI 접점 : 각 Task별 AI 대체·증강 가능성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ICEP 매트릭스 (Phase 2)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Impact (영향도) × Ease (용이성) 2x2 매트릭스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Confidence (확신도) · People Readiness (사람 준비도) 보정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우선순위 자동 도출 → Top 5 재설계 과제 선정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EARS 대시보드 (Phase 5)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Efficiency : 업무 효율 측정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Adoption : 도구·프로세스 정착도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Revenue : 매출 기여도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Sustainability : 지속가능성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09. 기대효과 — 4축 ROI (6개월 기준)</w:t>
      </w:r>
    </w:p>
    <w:p>
      <w:pPr>
        <w:pBdr>
          <w:bottom w:val="single" w:sz="8" w:space="1" w:color="1E2761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축</w:t>
            </w:r>
          </w:p>
        </w:tc>
        <w:tc>
          <w:tcPr>
            <w:tcW w:type="dxa" w:w="4535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지표</w:t>
            </w:r>
          </w:p>
        </w:tc>
        <w:tc>
          <w:tcPr>
            <w:tcW w:type="dxa" w:w="2551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기대치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⚡ 효율성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반복 업무 시간 단축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25 ~ 40%</w:t>
            </w:r>
          </w:p>
        </w:tc>
      </w:tr>
      <w:tr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💰 매출/가치</w:t>
            </w:r>
          </w:p>
        </w:tc>
        <w:tc>
          <w:tcPr>
            <w:tcW w:type="dxa" w:w="4535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고객대응·제안 속도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+30%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🛡️ 리스크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Shadow AI 제거율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90%+</w:t>
            </w:r>
          </w:p>
        </w:tc>
      </w:tr>
      <w:tr>
        <w:tc>
          <w:tcPr>
            <w:tcW w:type="dxa" w:w="2268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🏃 민첩성</w:t>
            </w:r>
          </w:p>
        </w:tc>
        <w:tc>
          <w:tcPr>
            <w:tcW w:type="dxa" w:w="4535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의사결정 사이클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-50%</w:t>
            </w:r>
          </w:p>
        </w:tc>
      </w:tr>
    </w:tbl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정성 효과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'AI를 써야 한다'는 부담 → 'AI와 함께 일한다'는 자신감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부서 간 격차 해소 · AX Champion 네트워크 형성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거버넌스 내재화 — 통제 없는 자율의 문화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ROI 산식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0F1535"/>
          <w:sz w:val="24"/>
        </w:rPr>
        <w:t>ROI = (절감시간 × 시간단가 + 신규창출가치 − 프로젝트 투자) / 프로젝트 투자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F96167"/>
          <w:sz w:val="26"/>
        </w:rPr>
        <w:t>→ 일반적으로 6개월 내 1.8 ~ 3.5배 회수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10. 팀 &amp; 방법론 배경</w:t>
      </w:r>
    </w:p>
    <w:p>
      <w:pPr>
        <w:pBdr>
          <w:bottom w:val="single" w:sz="8" w:space="1" w:color="1E2761"/>
        </w:pBdr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Lead Partner — Demian (임정훈)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HRD 15년 경력: 교육담당자에서 AX 디자이너로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200+ AI 앱 실전 개발 (Python, Next.js, Firebase)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FLOW~ : AX Design Lab 대표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HRDK, 기업 교육, AI 코칭 트레이너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왜 FLOW~인가 — 3대 차별점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6"/>
        </w:rPr>
        <w:t>01. HRD DNA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어떤 AI 컨설팅사보다 '사람의 학습과 변화'를 깊이 이해합니다.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6"/>
        </w:rPr>
        <w:t>02. 200앱 실전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PPT로만 말하지 않습니다. 우리가 만든 도구로 고객의 문제를 풉니다.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6"/>
        </w:rPr>
        <w:t>03. 전환 완수 파트너십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리포트 주고 떠나지 않습니다. 조직이 전환을 완료할 때까지 함께합니다.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11. 보안 · 거버넌스</w:t>
      </w:r>
    </w:p>
    <w:p>
      <w:pPr>
        <w:pBdr>
          <w:bottom w:val="single" w:sz="8" w:space="1" w:color="1E2761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영역</w:t>
            </w:r>
          </w:p>
        </w:tc>
        <w:tc>
          <w:tcPr>
            <w:tcW w:type="dxa" w:w="7370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FLOW~ 표준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데이터 분류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Level 1(공개) · Level 2(내부) · Level 3(기밀) 3단계 운영</w:t>
            </w:r>
          </w:p>
        </w:tc>
      </w:tr>
      <w:tr>
        <w:tc>
          <w:tcPr>
            <w:tcW w:type="dxa" w:w="1984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AI 플랫폼</w:t>
            </w:r>
          </w:p>
        </w:tc>
        <w:tc>
          <w:tcPr>
            <w:tcW w:type="dxa" w:w="7370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Enterprise/Team 플랜 또는 API — 학습 반영 차단 확인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NDA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Kickoff 전 필수 체결 — 구체 업무·파일은 NDA 이후 수령</w:t>
            </w:r>
          </w:p>
        </w:tc>
      </w:tr>
      <w:tr>
        <w:tc>
          <w:tcPr>
            <w:tcW w:type="dxa" w:w="1984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프롬프트 로그</w:t>
            </w:r>
          </w:p>
        </w:tc>
        <w:tc>
          <w:tcPr>
            <w:tcW w:type="dxa" w:w="7370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고객사 전용 저장소 격리, 종료 시 파기 증빙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개인정보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가명처리 후 실습, 개인정보보호법 2025 개정안 준수</w:t>
            </w:r>
          </w:p>
        </w:tc>
      </w:tr>
    </w:tbl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거버넌스 프레임워크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NIST AI RMF (GOVERN · MAP · MEASURE · MANAGE) 체크리스트 제공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EU AI Act Risk 분류 맵핑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국내 AI기본법(2026) 대응 가이드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산출물 지식재산권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방법론·프레임워크: FLOW~ 귀속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고객사 데이터·사례·결과물: {{고객사명}} 귀속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12. 레퍼런스 &amp; 차별점</w:t>
      </w:r>
    </w:p>
    <w:p>
      <w:pPr>
        <w:pBdr>
          <w:bottom w:val="single" w:sz="8" w:space="1" w:color="1E2761"/>
        </w:pBdr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주요 레퍼런스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H그룹 임원 코칭 — 2026 진행 협의 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HRDK 중소기업 AX 워크숍 — 커리큘럼 공급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20+ 기업 AI 리터러시 &amp; 리더십 교육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2"/>
        </w:rPr>
        <w:t>200+ AI 앱 실전 개발 포트폴리오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64748B"/>
          <w:sz w:val="20"/>
        </w:rPr>
        <w:t>* 상세 레퍼런스는 NDA 체결 후 개별 공유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경쟁사 대비 차별점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항목</w:t>
            </w:r>
          </w:p>
        </w:tc>
        <w:tc>
          <w:tcPr>
            <w:tcW w:type="dxa" w:w="2551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대형 컨설팅사</w:t>
            </w:r>
          </w:p>
        </w:tc>
        <w:tc>
          <w:tcPr>
            <w:tcW w:type="dxa" w:w="2551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IT SI</w:t>
            </w:r>
          </w:p>
        </w:tc>
        <w:tc>
          <w:tcPr>
            <w:tcW w:type="dxa" w:w="2551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FLOW~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관점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전략·보고서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시스템 구축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사람·업무·조직</w:t>
            </w:r>
          </w:p>
        </w:tc>
      </w:tr>
      <w:tr>
        <w:tc>
          <w:tcPr>
            <w:tcW w:type="dxa" w:w="170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산출물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PPT 리포트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시스템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교육+퍼실+코칭+도구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기간/비용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장기·고가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개발 중심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현실적·실행 중심</w:t>
            </w:r>
          </w:p>
        </w:tc>
      </w:tr>
      <w:tr>
        <w:tc>
          <w:tcPr>
            <w:tcW w:type="dxa" w:w="170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종료 후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리포트 전달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유지보수</w:t>
            </w:r>
          </w:p>
        </w:tc>
        <w:tc>
          <w:tcPr>
            <w:tcW w:type="dxa" w:w="2551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Champion 네트워크 자립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E2761"/>
          <w:sz w:val="44"/>
        </w:rPr>
        <w:t>13. 투자 &amp; Next Step</w:t>
      </w:r>
    </w:p>
    <w:p>
      <w:pPr>
        <w:pBdr>
          <w:bottom w:val="single" w:sz="8" w:space="1" w:color="1E2761"/>
        </w:pBdr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투자 제안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항목</w:t>
            </w:r>
          </w:p>
        </w:tc>
        <w:tc>
          <w:tcPr>
            <w:tcW w:type="dxa" w:w="7370"/>
            <w:vAlign w:val="center"/>
            <w:shd w:val="clear" w:color="auto" w:fill="1E27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내용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패키지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{{추천패키지}}</w:t>
            </w:r>
          </w:p>
        </w:tc>
      </w:tr>
      <w:tr>
        <w:tc>
          <w:tcPr>
            <w:tcW w:type="dxa" w:w="1984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7370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{{기간}}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투입 공수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{{투입MD}} MD</w:t>
            </w:r>
          </w:p>
        </w:tc>
      </w:tr>
      <w:tr>
        <w:tc>
          <w:tcPr>
            <w:tcW w:type="dxa" w:w="1984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 규모</w:t>
            </w:r>
          </w:p>
        </w:tc>
        <w:tc>
          <w:tcPr>
            <w:tcW w:type="dxa" w:w="7370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{{견적}} (VAT 별도)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청구 일정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Kickoff 30% / 중간 40% / 완료 30%</w:t>
            </w:r>
          </w:p>
        </w:tc>
      </w:tr>
      <w:tr>
        <w:tc>
          <w:tcPr>
            <w:tcW w:type="dxa" w:w="1984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포함 범위</w:t>
            </w:r>
          </w:p>
        </w:tc>
        <w:tc>
          <w:tcPr>
            <w:tcW w:type="dxa" w:w="7370"/>
            <w:vAlign w:val="center"/>
            <w:shd w:val="clear" w:color="auto" w:fill="F5F7FB"/>
          </w:tcPr>
          <w:p>
            <w:r/>
            <w:r>
              <w:rPr>
                <w:rFonts w:ascii="맑은 고딕" w:hAnsi="맑은 고딕" w:eastAsia="맑은 고딕"/>
                <w:sz w:val="20"/>
              </w:rPr>
              <w:t>{{포함범위}}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별도 협의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출장비, 인쇄물, 외부 강사 초청</w:t>
            </w:r>
          </w:p>
        </w:tc>
      </w:tr>
    </w:tbl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Next Step — 3단계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4"/>
        </w:rPr>
        <w:t>1단계. 본 제안 검토 + 1차 미팅 (60분)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→ 요구사항 상세화, 패키지 조정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4"/>
        </w:rPr>
        <w:t>2단계. NDA 체결 + 사전 진단 (1주)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→ Phase -1 준비도 간이 진단 무상 제공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4"/>
        </w:rPr>
        <w:t>3단계. SOW 확정 + Kickoff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→ {{기간}} 전환 여정 시작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1E2761"/>
          <w:sz w:val="32"/>
        </w:rPr>
        <w:t>연락처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E2761"/>
          <w:sz w:val="22"/>
        </w:rPr>
        <w:t>Demian (임정훈)  |  FLOW~ : AX Design Lab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0F1535"/>
          <w:sz w:val="22"/>
        </w:rPr>
        <w:t>📧 {{이메일}}    📱 {{연락처}}    🌐 {{홈페이지}}</w:t>
      </w:r>
    </w:p>
    <w:p/>
    <w:p/>
    <w:p>
      <w:pPr>
        <w:jc w:val="center"/>
      </w:pPr>
      <w:r>
        <w:rPr>
          <w:rFonts w:ascii="맑은 고딕" w:hAnsi="맑은 고딕" w:eastAsia="맑은 고딕"/>
          <w:b/>
          <w:i/>
          <w:color w:val="1E2761"/>
          <w:sz w:val="32"/>
        </w:rPr>
        <w:t>"{{고객사명}}의 AX, 끝까지 함께 가겠습니다."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