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WS01 — RTC 캔버스 (Role·Task·Competency)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소속/직책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1 — 나의 업무 해부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내 역할(Role)을 구성하는 Task를 분해하고, 각 Task에 필요한 Competency와 AI 전환 여지를 한 장에 정리한다.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Role 선언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한 문장으로 나의 직무 핵심 역할을 적는다 ("나는 ___을 통해 ___한다").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Task 분해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주요 Task 5~8개를 빈도/비중과 함께 나열한다.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Competency 매핑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각 Task에 필요한 역량(지식·기술·태도)을 기재한다.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AI 전환 신호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자동화(A), 증강(G), 인간 전담(H) 중 하나를 표시한다.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재설계 힌트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전환 후 내가 더 몰입할 영역을 한 줄로 적는다.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Role 선언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나는 ________________________________________________ 을 통해 ________________________________________________ 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Task × Competency 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주간 비중(%)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필요 Competency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AI 전환 (A/G/H)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재설계 아이디어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  <w:tc>
          <w:tcPr>
            <w:tcW w:type="dxa" w:w="1624"/>
            <w:vAlign w:val="center"/>
          </w:tcPr>
          <w:p>
            <w:r/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나의 전환 선언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내가 </w:t>
      </w:r>
      <w:r>
        <w:rPr>
          <w:rFonts w:ascii="맑은 고딕" w:hAnsi="맑은 고딕" w:eastAsia="맑은 고딕"/>
          <w:b/>
          <w:i w:val="0"/>
          <w:sz w:val="22"/>
        </w:rPr>
        <w:t>그만둘 것</w:t>
      </w:r>
      <w:r>
        <w:rPr>
          <w:rFonts w:ascii="맑은 고딕" w:hAnsi="맑은 고딕" w:eastAsia="맑은 고딕"/>
          <w:b w:val="0"/>
          <w:i w:val="0"/>
          <w:sz w:val="22"/>
        </w:rPr>
        <w:t>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내가 </w:t>
      </w:r>
      <w:r>
        <w:rPr>
          <w:rFonts w:ascii="맑은 고딕" w:hAnsi="맑은 고딕" w:eastAsia="맑은 고딕"/>
          <w:b/>
          <w:i w:val="0"/>
          <w:sz w:val="22"/>
        </w:rPr>
        <w:t>자동화할 것</w:t>
      </w:r>
      <w:r>
        <w:rPr>
          <w:rFonts w:ascii="맑은 고딕" w:hAnsi="맑은 고딕" w:eastAsia="맑은 고딕"/>
          <w:b w:val="0"/>
          <w:i w:val="0"/>
          <w:sz w:val="22"/>
        </w:rPr>
        <w:t>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내가 </w:t>
      </w:r>
      <w:r>
        <w:rPr>
          <w:rFonts w:ascii="맑은 고딕" w:hAnsi="맑은 고딕" w:eastAsia="맑은 고딕"/>
          <w:b/>
          <w:i w:val="0"/>
          <w:sz w:val="22"/>
        </w:rPr>
        <w:t>더 깊이 할 것</w:t>
      </w:r>
      <w:r>
        <w:rPr>
          <w:rFonts w:ascii="맑은 고딕" w:hAnsi="맑은 고딕" w:eastAsia="맑은 고딕"/>
          <w:b w:val="0"/>
          <w:i w:val="0"/>
          <w:sz w:val="22"/>
        </w:rPr>
        <w:t>: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 (HRD 담당자)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비중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Competency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A/G/H</w:t>
            </w:r>
          </w:p>
        </w:tc>
        <w:tc>
          <w:tcPr>
            <w:tcW w:type="dxa" w:w="1624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아이디어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교육 니즈 인터뷰 정리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경청·요약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STT+요약 프롬프트로 초안화</w:t>
            </w:r>
          </w:p>
        </w:tc>
      </w:tr>
      <w:tr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과정 제안서 초안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교수설계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</w:t>
            </w:r>
          </w:p>
        </w:tc>
        <w:tc>
          <w:tcPr>
            <w:tcW w:type="dxa" w:w="1624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기반 프롬프트 템플릿</w:t>
            </w:r>
          </w:p>
        </w:tc>
      </w:tr>
      <w:tr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강사 섭외 메일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커뮤니케이션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</w:t>
            </w:r>
          </w:p>
        </w:tc>
        <w:tc>
          <w:tcPr>
            <w:tcW w:type="dxa" w:w="162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메일 자동 드래프트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Day 1 종료 전 디지털 업로드(공유 드라이브 </w:t>
      </w:r>
      <w:r>
        <w:rPr>
          <w:rFonts w:ascii="Consolas" w:hAnsi="Consolas" w:eastAsia="Consolas"/>
          <w:b w:val="0"/>
          <w:i w:val="0"/>
          <w:sz w:val="20"/>
        </w:rPr>
        <w:t>/workshop/ws01/</w:t>
      </w:r>
      <w:r>
        <w:rPr>
          <w:rFonts w:ascii="맑은 고딕" w:hAnsi="맑은 고딕" w:eastAsia="맑은 고딕"/>
          <w:b w:val="0"/>
          <w:i w:val="0"/>
          <w:sz w:val="22"/>
        </w:rPr>
        <w:t>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Day 2 WS02 ICEP 매트릭스의 입력값으로 사용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