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WS02 — ICEP 매트릭스 (Impact·Confidence·Ease·People Readiness)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AX 워크숍 워크시트 02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작성자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소속/직책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작성일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2026 - -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세션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 1 — 전환 과제 우선순위화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WS01에서 도출한 Task 후보를 4축(Impact·Confidence·Ease·People Readiness)으로 점수화하고, 2x2 보드 위에 배치해 '지금 바로 시작할 것'을 선별한다.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작성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WS01의 Task 후보를 6~10개 가져와 A열에 적는다.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각 항목에 대해 </w:t>
      </w:r>
      <w:r>
        <w:rPr>
          <w:rFonts w:ascii="맑은 고딕" w:hAnsi="맑은 고딕" w:eastAsia="맑은 고딕"/>
          <w:b/>
          <w:i w:val="0"/>
          <w:sz w:val="22"/>
        </w:rPr>
        <w:t>I/C/E/P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를 1~5점으로 채점한다.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총점(합계)과 I×E를 계산한다.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2x2 보드(Impact ↕ × Ease ↔)에 번호로 점을 찍는다.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1사분면(High Impact × High Ease) 중 P≥3 인 항목에 ★ 표시하고 "Quick Win"으로 선언한다.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채점 기준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Impact (I)</w:t>
      </w:r>
      <w:r>
        <w:rPr>
          <w:rFonts w:ascii="맑은 고딕" w:hAnsi="맑은 고딕" w:eastAsia="맑은 고딕"/>
          <w:b w:val="0"/>
          <w:i w:val="0"/>
          <w:sz w:val="22"/>
        </w:rPr>
        <w:t>: 전환 시 성과 임팩트 (1 약함 ~ 5 매우 강함)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Confidence (C)</w:t>
      </w:r>
      <w:r>
        <w:rPr>
          <w:rFonts w:ascii="맑은 고딕" w:hAnsi="맑은 고딕" w:eastAsia="맑은 고딕"/>
          <w:b w:val="0"/>
          <w:i w:val="0"/>
          <w:sz w:val="22"/>
        </w:rPr>
        <w:t>: 실현 가능 확신도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Ease (E)</w:t>
      </w:r>
      <w:r>
        <w:rPr>
          <w:rFonts w:ascii="맑은 고딕" w:hAnsi="맑은 고딕" w:eastAsia="맑은 고딕"/>
          <w:b w:val="0"/>
          <w:i w:val="0"/>
          <w:sz w:val="22"/>
        </w:rPr>
        <w:t>: 실행 난이도 (쉬울수록 높음)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People Readiness (P)</w:t>
      </w:r>
      <w:r>
        <w:rPr>
          <w:rFonts w:ascii="맑은 고딕" w:hAnsi="맑은 고딕" w:eastAsia="맑은 고딕"/>
          <w:b w:val="0"/>
          <w:i w:val="0"/>
          <w:sz w:val="22"/>
        </w:rPr>
        <w:t>: 동료·조직 수용도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채점표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08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후보 Task</w:t>
            </w:r>
          </w:p>
        </w:tc>
        <w:tc>
          <w:tcPr>
            <w:tcW w:type="dxa" w:w="108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I</w:t>
            </w:r>
          </w:p>
        </w:tc>
        <w:tc>
          <w:tcPr>
            <w:tcW w:type="dxa" w:w="108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108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E</w:t>
            </w:r>
          </w:p>
        </w:tc>
        <w:tc>
          <w:tcPr>
            <w:tcW w:type="dxa" w:w="108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P</w:t>
            </w:r>
          </w:p>
        </w:tc>
        <w:tc>
          <w:tcPr>
            <w:tcW w:type="dxa" w:w="108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합계</w:t>
            </w:r>
          </w:p>
        </w:tc>
        <w:tc>
          <w:tcPr>
            <w:tcW w:type="dxa" w:w="108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I×E</w:t>
            </w:r>
          </w:p>
        </w:tc>
        <w:tc>
          <w:tcPr>
            <w:tcW w:type="dxa" w:w="108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선정</w:t>
            </w:r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</w:tr>
      <w:tr>
        <w:tc>
          <w:tcPr>
            <w:tcW w:type="dxa" w:w="108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</w:tr>
      <w:tr>
        <w:tc>
          <w:tcPr>
            <w:tcW w:type="dxa" w:w="108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108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  <w:tc>
          <w:tcPr>
            <w:tcW w:type="dxa" w:w="1083"/>
            <w:vAlign w:val="center"/>
          </w:tcPr>
          <w:p>
            <w:r/>
          </w:p>
        </w:tc>
      </w:tr>
      <w:tr>
        <w:tc>
          <w:tcPr>
            <w:tcW w:type="dxa" w:w="108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</w:t>
            </w:r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  <w:tc>
          <w:tcPr>
            <w:tcW w:type="dxa" w:w="1083"/>
            <w:shd w:val="clear" w:color="auto" w:fill="F5F7FB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2x2 보드 (번호로 기입)</w:t>
      </w:r>
    </w:p>
    <w:p>
      <w:pPr>
        <w:spacing w:after="120"/>
        <w:ind w:left="227"/>
        <w:shd w:val="clear" w:color="auto" w:fill="F5F7FB"/>
      </w:pPr>
      <w:r>
        <w:rPr>
          <w:rFonts w:ascii="Consolas" w:hAnsi="Consolas" w:eastAsia="Consolas"/>
          <w:b w:val="0"/>
          <w:i w:val="0"/>
          <w:sz w:val="18"/>
        </w:rPr>
        <w:t>Impact ↑</w:t>
        <w:br/>
        <w:t xml:space="preserve">  High │ (★ Quick Win)      │ (전략 투자)</w:t>
        <w:br/>
        <w:t xml:space="preserve">       │                    │</w:t>
        <w:br/>
        <w:t xml:space="preserve">       ├────────────────────┼────────────────</w:t>
        <w:br/>
        <w:t xml:space="preserve">  Low  │ (무시)              │ (여유 시 실험)</w:t>
        <w:br/>
        <w:t xml:space="preserve">       └────────────────────┴──────→ Ease</w:t>
        <w:br/>
        <w:t xml:space="preserve">         Hard                  Easy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예시 (영업기획 팀장)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218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218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I</w:t>
            </w:r>
          </w:p>
        </w:tc>
        <w:tc>
          <w:tcPr>
            <w:tcW w:type="dxa" w:w="1218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1218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E</w:t>
            </w:r>
          </w:p>
        </w:tc>
        <w:tc>
          <w:tcPr>
            <w:tcW w:type="dxa" w:w="1218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P</w:t>
            </w:r>
          </w:p>
        </w:tc>
        <w:tc>
          <w:tcPr>
            <w:tcW w:type="dxa" w:w="1218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합</w:t>
            </w:r>
          </w:p>
        </w:tc>
        <w:tc>
          <w:tcPr>
            <w:tcW w:type="dxa" w:w="1218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I×E</w:t>
            </w:r>
          </w:p>
        </w:tc>
      </w:tr>
      <w:tr>
        <w:tc>
          <w:tcPr>
            <w:tcW w:type="dxa" w:w="12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주간 실적 리포트 자동화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★</w:t>
            </w:r>
          </w:p>
        </w:tc>
      </w:tr>
      <w:tr>
        <w:tc>
          <w:tcPr>
            <w:tcW w:type="dxa" w:w="1218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18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고객사 제안서 초안</w:t>
            </w:r>
          </w:p>
        </w:tc>
        <w:tc>
          <w:tcPr>
            <w:tcW w:type="dxa" w:w="1218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18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18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18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18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218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15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제출/활용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 xml:space="preserve">★ 항목 1~2개를 </w:t>
      </w:r>
      <w:r>
        <w:rPr>
          <w:rFonts w:ascii="맑은 고딕" w:hAnsi="맑은 고딕" w:eastAsia="맑은 고딕"/>
          <w:b/>
          <w:i w:val="0"/>
          <w:sz w:val="22"/>
        </w:rPr>
        <w:t>WS03 WHY·WHAT·HOW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재설계 캔버스에 입력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팀 회고 시 공유해 우선순위 합의 도구로 사용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