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pBdr>
          <w:bottom w:val="single" w:sz="8" w:space="1" w:color="1E2761"/>
        </w:pBdr>
      </w:pPr>
      <w:r>
        <w:rPr>
          <w:rFonts w:ascii="맑은 고딕" w:hAnsi="맑은 고딕" w:eastAsia="맑은 고딕"/>
          <w:b/>
          <w:i w:val="0"/>
          <w:color w:val="1E2761"/>
          <w:sz w:val="44"/>
        </w:rPr>
        <w:t>WS06 — 파일럿 실행계획 (Pilot Plan)</w:t>
      </w:r>
    </w:p>
    <w:p>
      <w:pPr>
        <w:ind w:left="567"/>
        <w:pBdr>
          <w:left w:val="single" w:sz="18" w:space="8" w:color="F96167"/>
        </w:pBdr>
      </w:pPr>
      <w:r>
        <w:rPr>
          <w:rFonts w:ascii="맑은 고딕" w:hAnsi="맑은 고딕" w:eastAsia="맑은 고딕"/>
          <w:b w:val="0"/>
          <w:i/>
          <w:color w:val="64748B"/>
          <w:sz w:val="22"/>
        </w:rPr>
        <w:t>FLOW~ : AX Design Lab | AX 워크숍 워크시트 06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작성자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팀/파일럿명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작성일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2026 - -</w:t>
            </w:r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세션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Day 3 — 실행 설계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목적</w:t>
      </w:r>
    </w:p>
    <w:p>
      <w:pPr>
        <w:spacing w:after="80"/>
      </w:pPr>
      <w:r>
        <w:rPr>
          <w:rFonts w:ascii="맑은 고딕" w:hAnsi="맑은 고딕" w:eastAsia="맑은 고딕"/>
          <w:b w:val="0"/>
          <w:i w:val="0"/>
          <w:sz w:val="22"/>
        </w:rPr>
        <w:t>WS03의 재설계안을 2~4주짜리 작은 파일럿으로 쪼개어 목적·가설·지표·리스크·롤백을 한 장에 정리한다.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작성 가이드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목적 한 문장</w:t>
      </w:r>
      <w:r>
        <w:rPr>
          <w:rFonts w:ascii="맑은 고딕" w:hAnsi="맑은 고딕" w:eastAsia="맑은 고딕"/>
          <w:b w:val="0"/>
          <w:i w:val="0"/>
          <w:sz w:val="22"/>
        </w:rPr>
        <w:t xml:space="preserve">과 </w:t>
      </w:r>
      <w:r>
        <w:rPr>
          <w:rFonts w:ascii="맑은 고딕" w:hAnsi="맑은 고딕" w:eastAsia="맑은 고딕"/>
          <w:b/>
          <w:i w:val="0"/>
          <w:sz w:val="22"/>
        </w:rPr>
        <w:t>핵심 가설</w:t>
      </w:r>
      <w:r>
        <w:rPr>
          <w:rFonts w:ascii="맑은 고딕" w:hAnsi="맑은 고딕" w:eastAsia="맑은 고딕"/>
          <w:b w:val="0"/>
          <w:i w:val="0"/>
          <w:sz w:val="22"/>
        </w:rPr>
        <w:t xml:space="preserve"> 1~2개를 선언한다.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성공 지표</w:t>
      </w:r>
      <w:r>
        <w:rPr>
          <w:rFonts w:ascii="맑은 고딕" w:hAnsi="맑은 고딕" w:eastAsia="맑은 고딕"/>
          <w:b w:val="0"/>
          <w:i w:val="0"/>
          <w:sz w:val="22"/>
        </w:rPr>
        <w:t>는 WS05 EARS에서 가져온다 (정량 2개 + 정성 1개 권장).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일정</w:t>
      </w:r>
      <w:r>
        <w:rPr>
          <w:rFonts w:ascii="맑은 고딕" w:hAnsi="맑은 고딕" w:eastAsia="맑은 고딕"/>
          <w:b w:val="0"/>
          <w:i w:val="0"/>
          <w:sz w:val="22"/>
        </w:rPr>
        <w:t>은 주 단위로 쪼갠다 (최대 4주).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리스크</w:t>
      </w:r>
      <w:r>
        <w:rPr>
          <w:rFonts w:ascii="맑은 고딕" w:hAnsi="맑은 고딕" w:eastAsia="맑은 고딕"/>
          <w:b w:val="0"/>
          <w:i w:val="0"/>
          <w:sz w:val="22"/>
        </w:rPr>
        <w:t>를 3개 이상 식별하고 각각에 완화책을 적는다.</w:t>
      </w:r>
    </w:p>
    <w:p>
      <w:pPr>
        <w:pStyle w:val="ListNumber"/>
        <w:spacing w:after="40"/>
        <w:ind w:left="283"/>
      </w:pPr>
      <w:r>
        <w:rPr>
          <w:rFonts w:ascii="맑은 고딕" w:hAnsi="맑은 고딕" w:eastAsia="맑은 고딕"/>
          <w:b/>
          <w:i w:val="0"/>
          <w:sz w:val="22"/>
        </w:rPr>
        <w:t>롤백 조건</w:t>
      </w:r>
      <w:r>
        <w:rPr>
          <w:rFonts w:ascii="맑은 고딕" w:hAnsi="맑은 고딕" w:eastAsia="맑은 고딕"/>
          <w:b w:val="0"/>
          <w:i w:val="0"/>
          <w:sz w:val="22"/>
        </w:rPr>
        <w:t xml:space="preserve">과 </w:t>
      </w:r>
      <w:r>
        <w:rPr>
          <w:rFonts w:ascii="맑은 고딕" w:hAnsi="맑은 고딕" w:eastAsia="맑은 고딕"/>
          <w:b/>
          <w:i w:val="0"/>
          <w:sz w:val="22"/>
        </w:rPr>
        <w:t>중단 시 복구 절차</w:t>
      </w:r>
      <w:r>
        <w:rPr>
          <w:rFonts w:ascii="맑은 고딕" w:hAnsi="맑은 고딕" w:eastAsia="맑은 고딕"/>
          <w:b w:val="0"/>
          <w:i w:val="0"/>
          <w:sz w:val="22"/>
        </w:rPr>
        <w:t>를 명시한다.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1. 파일럿 선언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파일럿명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목적 (한 문장)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참여자/팀</w:t>
            </w:r>
          </w:p>
        </w:tc>
        <w:tc>
          <w:tcPr>
            <w:tcW w:type="dxa" w:w="4873"/>
            <w:vAlign w:val="center"/>
          </w:tcPr>
          <w:p>
            <w:r/>
          </w:p>
        </w:tc>
      </w:tr>
      <w:tr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기간</w:t>
            </w:r>
          </w:p>
        </w:tc>
        <w:tc>
          <w:tcPr>
            <w:tcW w:type="dxa" w:w="4873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2026- - ~ 2026- -</w:t>
            </w:r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2. 가설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H1: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H2: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3. 성공 지표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지표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측정 방법</w:t>
            </w:r>
          </w:p>
        </w:tc>
        <w:tc>
          <w:tcPr>
            <w:tcW w:type="dxa" w:w="3249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목표값</w:t>
            </w:r>
          </w:p>
        </w:tc>
      </w:tr>
      <w:tr>
        <w:tc>
          <w:tcPr>
            <w:tcW w:type="dxa" w:w="3249"/>
            <w:vAlign w:val="center"/>
          </w:tcPr>
          <w:p>
            <w:r/>
          </w:p>
        </w:tc>
        <w:tc>
          <w:tcPr>
            <w:tcW w:type="dxa" w:w="3249"/>
            <w:vAlign w:val="center"/>
          </w:tcPr>
          <w:p>
            <w:r/>
          </w:p>
        </w:tc>
        <w:tc>
          <w:tcPr>
            <w:tcW w:type="dxa" w:w="3249"/>
            <w:vAlign w:val="center"/>
          </w:tcPr>
          <w:p>
            <w:r/>
          </w:p>
        </w:tc>
      </w:tr>
      <w:tr>
        <w:tc>
          <w:tcPr>
            <w:tcW w:type="dxa" w:w="3249"/>
            <w:shd w:val="clear" w:color="auto" w:fill="F5F7FB"/>
            <w:vAlign w:val="center"/>
          </w:tcPr>
          <w:p>
            <w:r/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</w:p>
        </w:tc>
        <w:tc>
          <w:tcPr>
            <w:tcW w:type="dxa" w:w="3249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3249"/>
            <w:vAlign w:val="center"/>
          </w:tcPr>
          <w:p>
            <w:r/>
          </w:p>
        </w:tc>
        <w:tc>
          <w:tcPr>
            <w:tcW w:type="dxa" w:w="3249"/>
            <w:vAlign w:val="center"/>
          </w:tcPr>
          <w:p>
            <w:r/>
          </w:p>
        </w:tc>
        <w:tc>
          <w:tcPr>
            <w:tcW w:type="dxa" w:w="3249"/>
            <w:vAlign w:val="center"/>
          </w:tcPr>
          <w:p>
            <w:r/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4. 주간 일정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주차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핵심 활동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산출물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담당</w:t>
            </w:r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W1</w:t>
            </w:r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W2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2436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W3</w:t>
            </w:r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W4</w:t>
            </w:r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5. 리스크 &amp; 완화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ADCFC"/>
          <w:left w:val="single" w:sz="4" w:space="0" w:color="CADCFC"/>
          <w:bottom w:val="single" w:sz="4" w:space="0" w:color="CADCFC"/>
          <w:right w:val="single" w:sz="4" w:space="0" w:color="CADCFC"/>
          <w:insideH w:val="single" w:sz="4" w:space="0" w:color="CADCFC"/>
          <w:insideV w:val="single" w:sz="4" w:space="0" w:color="CADCFC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리스크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영향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가능성</w:t>
            </w:r>
          </w:p>
        </w:tc>
        <w:tc>
          <w:tcPr>
            <w:tcW w:type="dxa" w:w="2436"/>
            <w:shd w:val="clear" w:color="auto" w:fill="1E2761"/>
            <w:vAlign w:val="center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완화책</w:t>
            </w:r>
          </w:p>
        </w:tc>
      </w:tr>
      <w:tr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</w:tr>
      <w:tr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  <w:tc>
          <w:tcPr>
            <w:tcW w:type="dxa" w:w="2436"/>
            <w:shd w:val="clear" w:color="auto" w:fill="F5F7FB"/>
            <w:vAlign w:val="center"/>
          </w:tcPr>
          <w:p>
            <w:r/>
          </w:p>
        </w:tc>
      </w:tr>
      <w:tr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  <w:tc>
          <w:tcPr>
            <w:tcW w:type="dxa" w:w="2436"/>
            <w:vAlign w:val="center"/>
          </w:tcPr>
          <w:p>
            <w:r/>
          </w:p>
        </w:tc>
      </w:tr>
    </w:tbl>
    <w:p/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6. 롤백 조건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지표가 Baseline 대비 -20% 이상 악화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민감정보 유출 사고 발생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[ ] 팀 수용도 3.0/5.0 미만 2주 연속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복구 절차: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예시 (영업 제안서 초안 파일럿)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목적: 제안서 초안 시간을 8h → 3h로 단축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H1: 템플릿+RAG로 품질 유지하며 속도 2배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지표: 작성시간, 수주율, 검수 지적건수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롤백: 수주율 -10%p 발생 시 즉시 중단</w:t>
      </w:r>
    </w:p>
    <w:p>
      <w:pPr>
        <w:spacing w:before="200" w:after="120"/>
      </w:pPr>
      <w:r>
        <w:rPr>
          <w:rFonts w:ascii="맑은 고딕" w:hAnsi="맑은 고딕" w:eastAsia="맑은 고딕"/>
          <w:b/>
          <w:i w:val="0"/>
          <w:color w:val="1E2761"/>
          <w:sz w:val="32"/>
        </w:rPr>
        <w:t>제출/활용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파일럿 킥오프 미팅 자료로 사용</w:t>
      </w:r>
    </w:p>
    <w:p>
      <w:pPr>
        <w:pStyle w:val="ListBullet"/>
        <w:spacing w:after="40"/>
        <w:ind w:left="283"/>
      </w:pPr>
      <w:r>
        <w:rPr>
          <w:rFonts w:ascii="맑은 고딕" w:hAnsi="맑은 고딕" w:eastAsia="맑은 고딕"/>
          <w:b w:val="0"/>
          <w:i w:val="0"/>
          <w:sz w:val="22"/>
        </w:rPr>
        <w:t>종료 후 WS05 대시보드와 함께 회고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