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20"/>
        <w:pBdr>
          <w:bottom w:val="single" w:sz="8" w:space="1" w:color="1E2761"/>
        </w:pBdr>
      </w:pPr>
      <w:r>
        <w:rPr>
          <w:rFonts w:ascii="맑은 고딕" w:hAnsi="맑은 고딕" w:eastAsia="맑은 고딕"/>
          <w:b/>
          <w:i w:val="0"/>
          <w:color w:val="1E2761"/>
          <w:sz w:val="44"/>
        </w:rPr>
        <w:t>FLOW~ AX Design Lab | 컨설팅 Playbook</w:t>
      </w:r>
    </w:p>
    <w:p>
      <w:pPr>
        <w:ind w:left="567"/>
        <w:pBdr>
          <w:left w:val="single" w:sz="18" w:space="8" w:color="F96167"/>
        </w:pBdr>
      </w:pPr>
      <w:r>
        <w:rPr>
          <w:rFonts w:ascii="맑은 고딕" w:hAnsi="맑은 고딕" w:eastAsia="맑은 고딕"/>
          <w:b/>
          <w:i/>
          <w:color w:val="64748B"/>
          <w:sz w:val="22"/>
        </w:rPr>
        <w:t>대상:</w:t>
      </w:r>
      <w:r>
        <w:rPr>
          <w:rFonts w:ascii="맑은 고딕" w:hAnsi="맑은 고딕" w:eastAsia="맑은 고딕"/>
          <w:b w:val="0"/>
          <w:i/>
          <w:color w:val="64748B"/>
          <w:sz w:val="22"/>
        </w:rPr>
        <w:t xml:space="preserve"> 데미안 (FLOW~ 대표, 첫 본격 기업 AX 컨설팅 실행)</w:t>
      </w:r>
    </w:p>
    <w:p>
      <w:pPr>
        <w:ind w:left="567"/>
        <w:pBdr>
          <w:left w:val="single" w:sz="18" w:space="8" w:color="F96167"/>
        </w:pBdr>
      </w:pPr>
      <w:r>
        <w:rPr>
          <w:rFonts w:ascii="맑은 고딕" w:hAnsi="맑은 고딕" w:eastAsia="맑은 고딕"/>
          <w:b/>
          <w:i/>
          <w:color w:val="64748B"/>
          <w:sz w:val="22"/>
        </w:rPr>
        <w:t>목적:</w:t>
      </w:r>
      <w:r>
        <w:rPr>
          <w:rFonts w:ascii="맑은 고딕" w:hAnsi="맑은 고딕" w:eastAsia="맑은 고딕"/>
          <w:b w:val="0"/>
          <w:i/>
          <w:color w:val="64748B"/>
          <w:sz w:val="22"/>
        </w:rPr>
        <w:t xml:space="preserve"> 수주 → 실행 → 종료 전 과정의 계약·재무·보안·시스템 실무 가이드</w:t>
      </w:r>
    </w:p>
    <w:p>
      <w:pPr>
        <w:ind w:left="567"/>
        <w:pBdr>
          <w:left w:val="single" w:sz="18" w:space="8" w:color="F96167"/>
        </w:pBdr>
      </w:pPr>
      <w:r>
        <w:rPr>
          <w:rFonts w:ascii="맑은 고딕" w:hAnsi="맑은 고딕" w:eastAsia="맑은 고딕"/>
          <w:b/>
          <w:i/>
          <w:color w:val="64748B"/>
          <w:sz w:val="22"/>
        </w:rPr>
        <w:t>버전:</w:t>
      </w:r>
      <w:r>
        <w:rPr>
          <w:rFonts w:ascii="맑은 고딕" w:hAnsi="맑은 고딕" w:eastAsia="맑은 고딕"/>
          <w:b w:val="0"/>
          <w:i/>
          <w:color w:val="64748B"/>
          <w:sz w:val="22"/>
        </w:rPr>
        <w:t xml:space="preserve"> v1.0 (2026-04-09)</w:t>
      </w:r>
    </w:p>
    <w:p>
      <w:pPr>
        <w:ind w:left="567"/>
        <w:pBdr>
          <w:left w:val="single" w:sz="18" w:space="8" w:color="F96167"/>
        </w:pBdr>
      </w:pPr>
      <w:r>
        <w:rPr>
          <w:rFonts w:ascii="맑은 고딕" w:hAnsi="맑은 고딕" w:eastAsia="맑은 고딕"/>
          <w:b/>
          <w:i/>
          <w:color w:val="64748B"/>
          <w:sz w:val="22"/>
        </w:rPr>
        <w:t>사용법:</w:t>
      </w:r>
      <w:r>
        <w:rPr>
          <w:rFonts w:ascii="맑은 고딕" w:hAnsi="맑은 고딕" w:eastAsia="맑은 고딕"/>
          <w:b w:val="0"/>
          <w:i/>
          <w:color w:val="64748B"/>
          <w:sz w:val="22"/>
        </w:rPr>
        <w:t xml:space="preserve"> 각 섹션의 체크리스트를 순서대로 따라갈 것. "반드시 할 것" / "절대 하지 말 것"은 예외 없이 준수.</w:t>
      </w:r>
    </w:p>
    <w:p>
      <w:pPr>
        <w:pBdr>
          <w:bottom w:val="single" w:sz="12" w:space="1" w:color="CADCFC"/>
        </w:pBdr>
      </w:pPr>
    </w:p>
    <w:p>
      <w:pPr>
        <w:spacing w:before="200" w:after="120"/>
      </w:pPr>
      <w:r>
        <w:rPr>
          <w:rFonts w:ascii="맑은 고딕" w:hAnsi="맑은 고딕" w:eastAsia="맑은 고딕"/>
          <w:b/>
          <w:i w:val="0"/>
          <w:color w:val="1E2761"/>
          <w:sz w:val="32"/>
        </w:rPr>
        <w:t>목차</w:t>
      </w:r>
    </w:p>
    <w:p>
      <w:pPr>
        <w:pStyle w:val="ListNumber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계약 가이드</w:t>
      </w:r>
    </w:p>
    <w:p>
      <w:pPr>
        <w:pStyle w:val="ListNumber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재무 가이드</w:t>
      </w:r>
    </w:p>
    <w:p>
      <w:pPr>
        <w:pStyle w:val="ListNumber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보안 가이드</w:t>
      </w:r>
    </w:p>
    <w:p>
      <w:pPr>
        <w:pStyle w:val="ListNumber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시스템 가이드</w:t>
      </w:r>
    </w:p>
    <w:p>
      <w:pPr>
        <w:pStyle w:val="ListNumber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부록: 템플릿 &amp; 체크리스트 요약</w:t>
      </w:r>
    </w:p>
    <w:p>
      <w:pPr>
        <w:pBdr>
          <w:bottom w:val="single" w:sz="12" w:space="1" w:color="CADCFC"/>
        </w:pBdr>
      </w:pPr>
    </w:p>
    <w:p>
      <w:pPr>
        <w:spacing w:before="200" w:after="120"/>
      </w:pPr>
      <w:r>
        <w:rPr>
          <w:rFonts w:ascii="맑은 고딕" w:hAnsi="맑은 고딕" w:eastAsia="맑은 고딕"/>
          <w:b/>
          <w:i w:val="0"/>
          <w:color w:val="1E2761"/>
          <w:sz w:val="32"/>
        </w:rPr>
        <w:t>0. 초심자가 가장 많이 빠지는 함정 TOP 10</w:t>
      </w:r>
    </w:p>
    <w:p>
      <w:pPr>
        <w:pStyle w:val="ListNumber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 xml:space="preserve">NDA 서명 전에 고객사 내부 문서·데이터 먼저 수령 → </w:t>
      </w:r>
      <w:r>
        <w:rPr>
          <w:rFonts w:ascii="맑은 고딕" w:hAnsi="맑은 고딕" w:eastAsia="맑은 고딕"/>
          <w:b/>
          <w:i w:val="0"/>
          <w:sz w:val="22"/>
        </w:rPr>
        <w:t>법적 리스크 + 보험 미적용</w:t>
      </w:r>
    </w:p>
    <w:p>
      <w:pPr>
        <w:pStyle w:val="ListNumber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 xml:space="preserve">SOW에 "산출물: AI 컨설팅 보고서" 식 모호한 기재 → </w:t>
      </w:r>
      <w:r>
        <w:rPr>
          <w:rFonts w:ascii="맑은 고딕" w:hAnsi="맑은 고딕" w:eastAsia="맑은 고딕"/>
          <w:b/>
          <w:i w:val="0"/>
          <w:sz w:val="22"/>
        </w:rPr>
        <w:t>완료 판정 불가 → 잔금 미수</w:t>
      </w:r>
    </w:p>
    <w:p>
      <w:pPr>
        <w:pStyle w:val="ListNumber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 xml:space="preserve">견적에 VAT 10% 별도 표기 누락 → </w:t>
      </w:r>
      <w:r>
        <w:rPr>
          <w:rFonts w:ascii="맑은 고딕" w:hAnsi="맑은 고딕" w:eastAsia="맑은 고딕"/>
          <w:b/>
          <w:i w:val="0"/>
          <w:sz w:val="22"/>
        </w:rPr>
        <w:t>계약금의 9.09%를 자비로 부담</w:t>
      </w:r>
    </w:p>
    <w:p>
      <w:pPr>
        <w:pStyle w:val="ListNumber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 xml:space="preserve">카톡·개인 Gmail로 산출물 전달 → </w:t>
      </w:r>
      <w:r>
        <w:rPr>
          <w:rFonts w:ascii="맑은 고딕" w:hAnsi="맑은 고딕" w:eastAsia="맑은 고딕"/>
          <w:b/>
          <w:i w:val="0"/>
          <w:sz w:val="22"/>
        </w:rPr>
        <w:t>보안 사고 + 증빙 불가</w:t>
      </w:r>
    </w:p>
    <w:p>
      <w:pPr>
        <w:pStyle w:val="ListNumber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 xml:space="preserve">ChatGPT Free/Plus 플랜으로 고객 데이터 입력 → </w:t>
      </w:r>
      <w:r>
        <w:rPr>
          <w:rFonts w:ascii="맑은 고딕" w:hAnsi="맑은 고딕" w:eastAsia="맑은 고딕"/>
          <w:b/>
          <w:i w:val="0"/>
          <w:sz w:val="22"/>
        </w:rPr>
        <w:t>학습 데이터 반영 + 유출</w:t>
      </w:r>
    </w:p>
    <w:p>
      <w:pPr>
        <w:pStyle w:val="ListNumber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 xml:space="preserve">API 키를 데미안 개인 명의로 발급해 고객사에 빌려줌 → </w:t>
      </w:r>
      <w:r>
        <w:rPr>
          <w:rFonts w:ascii="맑은 고딕" w:hAnsi="맑은 고딕" w:eastAsia="맑은 고딕"/>
          <w:b/>
          <w:i w:val="0"/>
          <w:sz w:val="22"/>
        </w:rPr>
        <w:t>과금 리스크 + 위탁 위반</w:t>
      </w:r>
    </w:p>
    <w:p>
      <w:pPr>
        <w:pStyle w:val="ListNumber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 xml:space="preserve">"추가 요청 한두 개는 그냥 해드릴게요" → </w:t>
      </w:r>
      <w:r>
        <w:rPr>
          <w:rFonts w:ascii="맑은 고딕" w:hAnsi="맑은 고딕" w:eastAsia="맑은 고딕"/>
          <w:b/>
          <w:i w:val="0"/>
          <w:sz w:val="22"/>
        </w:rPr>
        <w:t>스코프 크리프로 MD 2배</w:t>
      </w:r>
    </w:p>
    <w:p>
      <w:pPr>
        <w:pStyle w:val="ListNumber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 xml:space="preserve">원천세 3.3% 공제를 모른 채 세금계산서 발행 → </w:t>
      </w:r>
      <w:r>
        <w:rPr>
          <w:rFonts w:ascii="맑은 고딕" w:hAnsi="맑은 고딕" w:eastAsia="맑은 고딕"/>
          <w:b/>
          <w:i w:val="0"/>
          <w:sz w:val="22"/>
        </w:rPr>
        <w:t>세무 이중 처리</w:t>
      </w:r>
    </w:p>
    <w:p>
      <w:pPr>
        <w:pStyle w:val="ListNumber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 xml:space="preserve">사고 발생 후 72시간 경과 → </w:t>
      </w:r>
      <w:r>
        <w:rPr>
          <w:rFonts w:ascii="맑은 고딕" w:hAnsi="맑은 고딕" w:eastAsia="맑은 고딕"/>
          <w:b/>
          <w:i w:val="0"/>
          <w:sz w:val="22"/>
        </w:rPr>
        <w:t>개인정보보호법 과태료 최대 3%</w:t>
      </w:r>
    </w:p>
    <w:p>
      <w:pPr>
        <w:pStyle w:val="ListNumber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 xml:space="preserve">로컬 디스크 암호화 미설정 노트북을 고객사 미팅에 반입 → </w:t>
      </w:r>
      <w:r>
        <w:rPr>
          <w:rFonts w:ascii="맑은 고딕" w:hAnsi="맑은 고딕" w:eastAsia="맑은 고딕"/>
          <w:b/>
          <w:i w:val="0"/>
          <w:sz w:val="22"/>
        </w:rPr>
        <w:t>분실 시 기밀 유출</w:t>
      </w:r>
    </w:p>
    <w:p>
      <w:pPr>
        <w:pBdr>
          <w:bottom w:val="single" w:sz="12" w:space="1" w:color="CADCFC"/>
        </w:pBdr>
      </w:pPr>
    </w:p>
    <w:p>
      <w:pPr>
        <w:spacing w:before="200" w:after="120"/>
      </w:pPr>
      <w:r>
        <w:rPr>
          <w:rFonts w:ascii="맑은 고딕" w:hAnsi="맑은 고딕" w:eastAsia="맑은 고딕"/>
          <w:b/>
          <w:i w:val="0"/>
          <w:color w:val="1E2761"/>
          <w:sz w:val="32"/>
        </w:rPr>
        <w:t>1. 계약 가이드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1.1 수주 파이프라인 (6단계)</w:t>
      </w:r>
    </w:p>
    <w:p>
      <w:pPr>
        <w:spacing w:after="120"/>
        <w:ind w:left="227"/>
        <w:shd w:val="clear" w:color="auto" w:fill="F5F7FB"/>
      </w:pPr>
      <w:r>
        <w:rPr>
          <w:rFonts w:ascii="Consolas" w:hAnsi="Consolas" w:eastAsia="Consolas"/>
          <w:b w:val="0"/>
          <w:i w:val="0"/>
          <w:sz w:val="18"/>
        </w:rPr>
        <w:t>[리드] → [1차 미팅] → [제안서] → [NDA] → [SOW] → [본계약] → [Kickoff]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sz w:val="22"/>
        </w:rPr>
        <w:t xml:space="preserve">각 단계별 표준 소요: 리드 접수 후 Kickoff까지 </w:t>
      </w:r>
      <w:r>
        <w:rPr>
          <w:rFonts w:ascii="맑은 고딕" w:hAnsi="맑은 고딕" w:eastAsia="맑은 고딕"/>
          <w:b/>
          <w:i w:val="0"/>
          <w:sz w:val="22"/>
        </w:rPr>
        <w:t>평균 3~6주</w:t>
      </w:r>
      <w:r>
        <w:rPr>
          <w:rFonts w:ascii="맑은 고딕" w:hAnsi="맑은 고딕" w:eastAsia="맑은 고딕"/>
          <w:b w:val="0"/>
          <w:i w:val="0"/>
          <w:sz w:val="22"/>
        </w:rPr>
        <w:t>.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4"/>
        </w:rPr>
        <w:t>1.1.1 리드 단계 체크리스트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[ ] 리드 출처 기록 (소개/세미나/홈페이지/콜드) — 전환율 집계용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[ ] 담당자 직책·의사결정 권한 확인 (결정권자 / 실무자 / 게이트키퍼)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[ ] 예산 규모 감지 (직접 묻지 말 것, "유사 프로젝트 5천~1억 범위" 식으로 반응 관찰)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[ ] 리드 → 고객사 CRM (Notion DB) 등록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반드시 할 것: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첫 연락 후 24시간 내 1차 회신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절대 하지 말 것: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리드 단계에서 상세 제안 수치·방법론 노출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4"/>
        </w:rPr>
        <w:t>1.1.2 1차 미팅 (디스커버리)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[ ] 미팅 전: 고객사 공개정보 조사 (IR, 보도자료, 직원수, 매출, 경쟁사) 30분 이상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[ ] 미팅 어젠다 이메일 선송부 (회의 1영업일 전)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 xml:space="preserve">[ ] </w:t>
      </w:r>
      <w:r>
        <w:rPr>
          <w:rFonts w:ascii="맑은 고딕" w:hAnsi="맑은 고딕" w:eastAsia="맑은 고딕"/>
          <w:b/>
          <w:i w:val="0"/>
          <w:sz w:val="22"/>
        </w:rPr>
        <w:t>질문 리스트 5종 준비</w:t>
      </w:r>
    </w:p>
    <w:p>
      <w:pPr>
        <w:pStyle w:val="ListNumber"/>
        <w:spacing w:after="40"/>
        <w:ind w:left="624"/>
      </w:pPr>
      <w:r>
        <w:rPr>
          <w:rFonts w:ascii="맑은 고딕" w:hAnsi="맑은 고딕" w:eastAsia="맑은 고딕"/>
          <w:b w:val="0"/>
          <w:i w:val="0"/>
          <w:sz w:val="22"/>
        </w:rPr>
        <w:t>현재 AI/AX 관련 고민 1순위는?</w:t>
      </w:r>
    </w:p>
    <w:p>
      <w:pPr>
        <w:pStyle w:val="ListNumber"/>
        <w:spacing w:after="40"/>
        <w:ind w:left="624"/>
      </w:pPr>
      <w:r>
        <w:rPr>
          <w:rFonts w:ascii="맑은 고딕" w:hAnsi="맑은 고딕" w:eastAsia="맑은 고딕"/>
          <w:b w:val="0"/>
          <w:i w:val="0"/>
          <w:sz w:val="22"/>
        </w:rPr>
        <w:t>이미 시도한 것과 결과는?</w:t>
      </w:r>
    </w:p>
    <w:p>
      <w:pPr>
        <w:pStyle w:val="ListNumber"/>
        <w:spacing w:after="40"/>
        <w:ind w:left="624"/>
      </w:pPr>
      <w:r>
        <w:rPr>
          <w:rFonts w:ascii="맑은 고딕" w:hAnsi="맑은 고딕" w:eastAsia="맑은 고딕"/>
          <w:b w:val="0"/>
          <w:i w:val="0"/>
          <w:sz w:val="22"/>
        </w:rPr>
        <w:t>성공의 정의(KPI)는 무엇인가?</w:t>
      </w:r>
    </w:p>
    <w:p>
      <w:pPr>
        <w:pStyle w:val="ListNumber"/>
        <w:spacing w:after="40"/>
        <w:ind w:left="624"/>
      </w:pPr>
      <w:r>
        <w:rPr>
          <w:rFonts w:ascii="맑은 고딕" w:hAnsi="맑은 고딕" w:eastAsia="맑은 고딕"/>
          <w:b w:val="0"/>
          <w:i w:val="0"/>
          <w:sz w:val="22"/>
        </w:rPr>
        <w:t>프로젝트 일정과 예산 범위는?</w:t>
      </w:r>
    </w:p>
    <w:p>
      <w:pPr>
        <w:pStyle w:val="ListNumber"/>
        <w:spacing w:after="40"/>
        <w:ind w:left="624"/>
      </w:pPr>
      <w:r>
        <w:rPr>
          <w:rFonts w:ascii="맑은 고딕" w:hAnsi="맑은 고딕" w:eastAsia="맑은 고딕"/>
          <w:b w:val="0"/>
          <w:i w:val="0"/>
          <w:sz w:val="22"/>
        </w:rPr>
        <w:t>의사결정 프로세스와 최종 승인자는 누구인가?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 xml:space="preserve">[ ] </w:t>
      </w:r>
      <w:r>
        <w:rPr>
          <w:rFonts w:ascii="맑은 고딕" w:hAnsi="맑은 고딕" w:eastAsia="맑은 고딕"/>
          <w:b/>
          <w:i w:val="0"/>
          <w:sz w:val="22"/>
        </w:rPr>
        <w:t>절대 하지 말 것: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첫 미팅에서 "얼마면 됩니다" 즉답. 항상 "검토 후 2영업일 내 제안" 응대.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[ ] 미팅 후 4시간 내 회의록 + Thank-you 메일 발송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4"/>
        </w:rPr>
        <w:t>1.1.3 제안서 (Proposal)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[ ] 제안서 필수 구성 10항목</w:t>
      </w:r>
    </w:p>
    <w:p>
      <w:pPr>
        <w:pStyle w:val="ListNumber"/>
        <w:spacing w:after="40"/>
        <w:ind w:left="624"/>
      </w:pPr>
      <w:r>
        <w:rPr>
          <w:rFonts w:ascii="맑은 고딕" w:hAnsi="맑은 고딕" w:eastAsia="맑은 고딕"/>
          <w:b w:val="0"/>
          <w:i w:val="0"/>
          <w:sz w:val="22"/>
        </w:rPr>
        <w:t>표지 (프로젝트명, 고객사명, 제안일, 유효기간 30일)</w:t>
      </w:r>
    </w:p>
    <w:p>
      <w:pPr>
        <w:pStyle w:val="ListNumber"/>
        <w:spacing w:after="40"/>
        <w:ind w:left="624"/>
      </w:pPr>
      <w:r>
        <w:rPr>
          <w:rFonts w:ascii="맑은 고딕" w:hAnsi="맑은 고딕" w:eastAsia="맑은 고딕"/>
          <w:b w:val="0"/>
          <w:i w:val="0"/>
          <w:sz w:val="22"/>
        </w:rPr>
        <w:t>Executive Summary (1페이지)</w:t>
      </w:r>
    </w:p>
    <w:p>
      <w:pPr>
        <w:pStyle w:val="ListNumber"/>
        <w:spacing w:after="40"/>
        <w:ind w:left="624"/>
      </w:pPr>
      <w:r>
        <w:rPr>
          <w:rFonts w:ascii="맑은 고딕" w:hAnsi="맑은 고딕" w:eastAsia="맑은 고딕"/>
          <w:b w:val="0"/>
          <w:i w:val="0"/>
          <w:sz w:val="22"/>
        </w:rPr>
        <w:t>현황 진단 (고객의 문제를 고객의 언어로)</w:t>
      </w:r>
    </w:p>
    <w:p>
      <w:pPr>
        <w:pStyle w:val="ListNumber"/>
        <w:spacing w:after="40"/>
        <w:ind w:left="624"/>
      </w:pPr>
      <w:r>
        <w:rPr>
          <w:rFonts w:ascii="맑은 고딕" w:hAnsi="맑은 고딕" w:eastAsia="맑은 고딕"/>
          <w:b w:val="0"/>
          <w:i w:val="0"/>
          <w:sz w:val="22"/>
        </w:rPr>
        <w:t>제안 솔루션 (5패키지 중 적합한 것 매핑)</w:t>
      </w:r>
    </w:p>
    <w:p>
      <w:pPr>
        <w:pStyle w:val="ListNumber"/>
        <w:spacing w:after="40"/>
        <w:ind w:left="624"/>
      </w:pPr>
      <w:r>
        <w:rPr>
          <w:rFonts w:ascii="맑은 고딕" w:hAnsi="맑은 고딕" w:eastAsia="맑은 고딕"/>
          <w:b w:val="0"/>
          <w:i w:val="0"/>
          <w:sz w:val="22"/>
        </w:rPr>
        <w:t>기대 효과 (정량 + 정성)</w:t>
      </w:r>
    </w:p>
    <w:p>
      <w:pPr>
        <w:pStyle w:val="ListNumber"/>
        <w:spacing w:after="40"/>
        <w:ind w:left="624"/>
      </w:pPr>
      <w:r>
        <w:rPr>
          <w:rFonts w:ascii="맑은 고딕" w:hAnsi="맑은 고딕" w:eastAsia="맑은 고딕"/>
          <w:b w:val="0"/>
          <w:i w:val="0"/>
          <w:sz w:val="22"/>
        </w:rPr>
        <w:t>수행 방법론 (Phase / 산출물 / 마일스톤)</w:t>
      </w:r>
    </w:p>
    <w:p>
      <w:pPr>
        <w:pStyle w:val="ListNumber"/>
        <w:spacing w:after="40"/>
        <w:ind w:left="624"/>
      </w:pPr>
      <w:r>
        <w:rPr>
          <w:rFonts w:ascii="맑은 고딕" w:hAnsi="맑은 고딕" w:eastAsia="맑은 고딕"/>
          <w:b w:val="0"/>
          <w:i w:val="0"/>
          <w:sz w:val="22"/>
        </w:rPr>
        <w:t>일정표 (간트차트)</w:t>
      </w:r>
    </w:p>
    <w:p>
      <w:pPr>
        <w:pStyle w:val="ListNumber"/>
        <w:spacing w:after="40"/>
        <w:ind w:left="624"/>
      </w:pPr>
      <w:r>
        <w:rPr>
          <w:rFonts w:ascii="맑은 고딕" w:hAnsi="맑은 고딕" w:eastAsia="맑은 고딕"/>
          <w:b w:val="0"/>
          <w:i w:val="0"/>
          <w:sz w:val="22"/>
        </w:rPr>
        <w:t>투입 인력 / 역할</w:t>
      </w:r>
    </w:p>
    <w:p>
      <w:pPr>
        <w:pStyle w:val="ListNumber"/>
        <w:spacing w:after="40"/>
        <w:ind w:left="624"/>
      </w:pPr>
      <w:r>
        <w:rPr>
          <w:rFonts w:ascii="맑은 고딕" w:hAnsi="맑은 고딕" w:eastAsia="맑은 고딕"/>
          <w:b w:val="0"/>
          <w:i w:val="0"/>
          <w:sz w:val="22"/>
        </w:rPr>
        <w:t>투자 금액 (VAT 별도 명시)</w:t>
      </w:r>
    </w:p>
    <w:p>
      <w:pPr>
        <w:pStyle w:val="ListNumber"/>
        <w:spacing w:after="40"/>
        <w:ind w:left="624"/>
      </w:pPr>
      <w:r>
        <w:rPr>
          <w:rFonts w:ascii="맑은 고딕" w:hAnsi="맑은 고딕" w:eastAsia="맑은 고딕"/>
          <w:b w:val="0"/>
          <w:i w:val="0"/>
          <w:sz w:val="22"/>
        </w:rPr>
        <w:t>레퍼런스 / 회사 소개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 xml:space="preserve">[ ] 제안서는 </w:t>
      </w:r>
      <w:r>
        <w:rPr>
          <w:rFonts w:ascii="맑은 고딕" w:hAnsi="맑은 고딕" w:eastAsia="맑은 고딕"/>
          <w:b/>
          <w:i w:val="0"/>
          <w:sz w:val="22"/>
        </w:rPr>
        <w:t>PDF로만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배포. Word 원본 배포 금지 (수정·재활용 방지)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 xml:space="preserve">[ ] 제안서 하단 고정 문구: </w:t>
      </w:r>
      <w:r>
        <w:rPr>
          <w:rFonts w:ascii="맑은 고딕" w:hAnsi="맑은 고딕" w:eastAsia="맑은 고딕"/>
          <w:b w:val="0"/>
          <w:i/>
          <w:sz w:val="22"/>
        </w:rPr>
        <w:t>"본 제안서는 고객사 내부 검토 목적으로만 사용되며, 제3자 공개를 금합니다. 유효기간: 발송일로부터 30일."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4"/>
        </w:rPr>
        <w:t>1.1.4 NDA (비밀유지계약)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 xml:space="preserve">[ ] </w:t>
      </w:r>
      <w:r>
        <w:rPr>
          <w:rFonts w:ascii="맑은 고딕" w:hAnsi="맑은 고딕" w:eastAsia="맑은 고딕"/>
          <w:b/>
          <w:i w:val="0"/>
          <w:sz w:val="22"/>
        </w:rPr>
        <w:t>원칙: NDA 서명본 수령 전에는 고객사 내부 문서·데이터·로그를 단 한 건도 수령하지 않는다.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 xml:space="preserve">[ ] NDA는 </w:t>
      </w:r>
      <w:r>
        <w:rPr>
          <w:rFonts w:ascii="맑은 고딕" w:hAnsi="맑은 고딕" w:eastAsia="맑은 고딕"/>
          <w:b/>
          <w:i w:val="0"/>
          <w:sz w:val="22"/>
        </w:rPr>
        <w:t>상호(Mutual) NDA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체결 (데미안 측 산출물·방법론도 보호)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[ ] Kickoff 3영업일 전 NDA 서명본 수령 완료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[ ] NDA 원본은 법률 자문 검토 최소 1회 완료된 템플릿만 사용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2"/>
        </w:rPr>
        <w:t>NDA 표준 조항 (7개)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ADCFC"/>
          <w:left w:val="single" w:sz="4" w:space="0" w:color="CADCFC"/>
          <w:bottom w:val="single" w:sz="4" w:space="0" w:color="CADCFC"/>
          <w:right w:val="single" w:sz="4" w:space="0" w:color="CADCFC"/>
          <w:insideH w:val="single" w:sz="4" w:space="0" w:color="CADCFC"/>
          <w:insideV w:val="single" w:sz="4" w:space="0" w:color="CADCFC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E276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조항</w:t>
            </w:r>
          </w:p>
        </w:tc>
        <w:tc>
          <w:tcPr>
            <w:tcW w:type="dxa" w:w="3249"/>
            <w:shd w:val="clear" w:color="auto" w:fill="1E276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내용</w:t>
            </w:r>
          </w:p>
        </w:tc>
        <w:tc>
          <w:tcPr>
            <w:tcW w:type="dxa" w:w="3249"/>
            <w:shd w:val="clear" w:color="auto" w:fill="1E276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권장 기준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정의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비밀정보의 범위 (구두, 문서, 전자, 시각)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포괄 정의</w:t>
            </w:r>
          </w:p>
        </w:tc>
      </w:tr>
      <w:tr>
        <w:tc>
          <w:tcPr>
            <w:tcW w:type="dxa" w:w="3249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비밀유지 의무</w:t>
            </w:r>
          </w:p>
        </w:tc>
        <w:tc>
          <w:tcPr>
            <w:tcW w:type="dxa" w:w="3249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제3자 제공·공표 금지</w:t>
            </w:r>
          </w:p>
        </w:tc>
        <w:tc>
          <w:tcPr>
            <w:tcW w:type="dxa" w:w="3249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상호 의무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예외사항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공지된 정보 / 독자 개발 / 법원 명령 / 사전 동의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4가지 한정</w:t>
            </w:r>
          </w:p>
        </w:tc>
      </w:tr>
      <w:tr>
        <w:tc>
          <w:tcPr>
            <w:tcW w:type="dxa" w:w="3249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유효기간</w:t>
            </w:r>
          </w:p>
        </w:tc>
        <w:tc>
          <w:tcPr>
            <w:tcW w:type="dxa" w:w="3249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계약 종료 후 존속기간</w:t>
            </w:r>
          </w:p>
        </w:tc>
        <w:tc>
          <w:tcPr>
            <w:tcW w:type="dxa" w:w="3249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2~3년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파기 의무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종료 시 반환·파기·증빙서 제출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30일 이내</w:t>
            </w:r>
          </w:p>
        </w:tc>
      </w:tr>
      <w:tr>
        <w:tc>
          <w:tcPr>
            <w:tcW w:type="dxa" w:w="3249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손해배상</w:t>
            </w:r>
          </w:p>
        </w:tc>
        <w:tc>
          <w:tcPr>
            <w:tcW w:type="dxa" w:w="3249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위반 시 실손해 + 법정비용</w:t>
            </w:r>
          </w:p>
        </w:tc>
        <w:tc>
          <w:tcPr>
            <w:tcW w:type="dxa" w:w="3249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상한 없음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관할법원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분쟁 시 관할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서울중앙지방법원</w:t>
            </w:r>
          </w:p>
        </w:tc>
      </w:tr>
    </w:tbl>
    <w:p/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절대 하지 말 것: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고객사가 제시한 일방(One-way) NDA를 검토 없이 서명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반드시 할 것: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NDA 서명 전 자사 변호사(또는 법률 자문) 검토 최소 1회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4"/>
        </w:rPr>
        <w:t>1.1.5 SOW (Statement of Work, 작업기술서)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sz w:val="22"/>
        </w:rPr>
        <w:t xml:space="preserve">SOW는 본계약의 부속문서이자 </w:t>
      </w:r>
      <w:r>
        <w:rPr>
          <w:rFonts w:ascii="맑은 고딕" w:hAnsi="맑은 고딕" w:eastAsia="맑은 고딕"/>
          <w:b/>
          <w:i w:val="0"/>
          <w:sz w:val="22"/>
        </w:rPr>
        <w:t>분쟁 발생 시 1순위 판단 기준</w:t>
      </w:r>
      <w:r>
        <w:rPr>
          <w:rFonts w:ascii="맑은 고딕" w:hAnsi="맑은 고딕" w:eastAsia="맑은 고딕"/>
          <w:b w:val="0"/>
          <w:i w:val="0"/>
          <w:sz w:val="22"/>
        </w:rPr>
        <w:t>이다. 모호하면 무조건 데미안이 진다.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2"/>
        </w:rPr>
        <w:t>SOW 필수 10항목</w:t>
      </w:r>
    </w:p>
    <w:p>
      <w:pPr>
        <w:pStyle w:val="ListNumber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프로젝트명 및 배경</w:t>
      </w:r>
    </w:p>
    <w:p>
      <w:pPr>
        <w:pStyle w:val="ListNumber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목표 (Objectives)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— 측정 가능한 3~5개</w:t>
      </w:r>
    </w:p>
    <w:p>
      <w:pPr>
        <w:pStyle w:val="ListNumber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범위 (Scope In / Scope Out)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— 포함/제외를 </w:t>
      </w:r>
      <w:r>
        <w:rPr>
          <w:rFonts w:ascii="맑은 고딕" w:hAnsi="맑은 고딕" w:eastAsia="맑은 고딕"/>
          <w:b/>
          <w:i w:val="0"/>
          <w:sz w:val="22"/>
        </w:rPr>
        <w:t>양쪽 모두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명시</w:t>
      </w:r>
    </w:p>
    <w:p>
      <w:pPr>
        <w:pStyle w:val="ListNumber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산출물 정의 (Deliverables)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— 포맷, 수량, 품질 기준</w:t>
      </w:r>
    </w:p>
    <w:p>
      <w:pPr>
        <w:pStyle w:val="ListNumber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완료기준 (Acceptance Criteria)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— 아래 1.1.6 참조</w:t>
      </w:r>
    </w:p>
    <w:p>
      <w:pPr>
        <w:pStyle w:val="ListNumber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일정 (Schedule &amp; Milestones)</w:t>
      </w:r>
    </w:p>
    <w:p>
      <w:pPr>
        <w:pStyle w:val="ListNumber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투입 인력 (Resources)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— 시니어/주니어 MD 분배</w:t>
      </w:r>
    </w:p>
    <w:p>
      <w:pPr>
        <w:pStyle w:val="ListNumber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고객사 의무 (Client Responsibilities)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— 자료 제공, 담당자 지정, 피드백 기한</w:t>
      </w:r>
    </w:p>
    <w:p>
      <w:pPr>
        <w:pStyle w:val="ListNumber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변경관리 (Change Request) 프로세스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— 아래 참조</w:t>
      </w:r>
    </w:p>
    <w:p>
      <w:pPr>
        <w:pStyle w:val="ListNumber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가정 및 리스크 (Assumptions &amp; Risks)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2"/>
        </w:rPr>
        <w:t>변경관리(CR) 프로세스 표준</w:t>
      </w:r>
    </w:p>
    <w:p>
      <w:pPr>
        <w:spacing w:after="120"/>
        <w:ind w:left="227"/>
        <w:shd w:val="clear" w:color="auto" w:fill="F5F7FB"/>
      </w:pPr>
      <w:r>
        <w:rPr>
          <w:rFonts w:ascii="Consolas" w:hAnsi="Consolas" w:eastAsia="Consolas"/>
          <w:b w:val="0"/>
          <w:i w:val="0"/>
          <w:sz w:val="18"/>
        </w:rPr>
        <w:t>고객 요청 → CR 양식 작성 (24h 내) → 영향도 분석 (MD·일정·비용) → 견적 송부 → 서면 승인 → 반영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 xml:space="preserve">CR 양식은 </w:t>
      </w:r>
      <w:r>
        <w:rPr>
          <w:rFonts w:ascii="맑은 고딕" w:hAnsi="맑은 고딕" w:eastAsia="맑은 고딕"/>
          <w:b/>
          <w:i w:val="0"/>
          <w:sz w:val="22"/>
        </w:rPr>
        <w:t>반드시 이메일 또는 PDF 서면</w:t>
      </w:r>
      <w:r>
        <w:rPr>
          <w:rFonts w:ascii="맑은 고딕" w:hAnsi="맑은 고딕" w:eastAsia="맑은 고딕"/>
          <w:b w:val="0"/>
          <w:i w:val="0"/>
          <w:sz w:val="22"/>
        </w:rPr>
        <w:t>으로. 카톡·구두 승인 무효.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절대 하지 말 것: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"이 정도는 서비스로 해드릴게요" — 첫 CR부터 과금 원칙을 명확히 해야 뒤가 편하다.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2"/>
        </w:rPr>
        <w:t>지연 대응 조항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 xml:space="preserve">고객 귀책 지연 (자료 미제공, 피드백 지연): </w:t>
      </w:r>
      <w:r>
        <w:rPr>
          <w:rFonts w:ascii="맑은 고딕" w:hAnsi="맑은 고딕" w:eastAsia="맑은 고딕"/>
          <w:b/>
          <w:i w:val="0"/>
          <w:sz w:val="22"/>
        </w:rPr>
        <w:t>지연일수 × 일 MD 단가 × 0.5 = 대기 비용</w:t>
      </w:r>
      <w:r>
        <w:rPr>
          <w:rFonts w:ascii="맑은 고딕" w:hAnsi="맑은 고딕" w:eastAsia="맑은 고딕"/>
          <w:b w:val="0"/>
          <w:i w:val="0"/>
          <w:sz w:val="22"/>
        </w:rPr>
        <w:t>으로 청구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 xml:space="preserve">데미안 귀책 지연: 지체상금은 </w:t>
      </w:r>
      <w:r>
        <w:rPr>
          <w:rFonts w:ascii="맑은 고딕" w:hAnsi="맑은 고딕" w:eastAsia="맑은 고딕"/>
          <w:b/>
          <w:i w:val="0"/>
          <w:sz w:val="22"/>
        </w:rPr>
        <w:t>총 계약금액의 0.1%/일, 최대 10%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상한 (관행)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불가항력(천재지변, 감염병, 고객사 M&amp;A 등): 양자 합의 일정 재조정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4"/>
        </w:rPr>
        <w:t>1.1.6 산출물 완료기준 정의법 (모호성 제거)</w:t>
      </w:r>
    </w:p>
    <w:p>
      <w:pPr>
        <w:spacing w:after="80"/>
      </w:pPr>
      <w:r>
        <w:rPr>
          <w:rFonts w:ascii="맑은 고딕" w:hAnsi="맑은 고딕" w:eastAsia="맑은 고딕"/>
          <w:b/>
          <w:i w:val="0"/>
          <w:sz w:val="22"/>
        </w:rPr>
        <w:t>나쁜 예: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"AI 활용 교육 자료 1식"</w:t>
      </w:r>
    </w:p>
    <w:p>
      <w:pPr>
        <w:spacing w:after="80"/>
      </w:pPr>
      <w:r>
        <w:rPr>
          <w:rFonts w:ascii="맑은 고딕" w:hAnsi="맑은 고딕" w:eastAsia="맑은 고딕"/>
          <w:b/>
          <w:i w:val="0"/>
          <w:sz w:val="22"/>
        </w:rPr>
        <w:t>좋은 예: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포맷: PPTX (16:9, 마스터 슬라이드 FLOW~ 브랜드)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분량: 120~150 슬라이드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내용: 모듈 1~5, 각 모듈 실습 20분 포함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언어: 한국어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납품: PPTX 원본 + PDF + 실습파일 zip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완료 판정: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고객사 담당자의 </w:t>
      </w:r>
      <w:r>
        <w:rPr>
          <w:rFonts w:ascii="맑은 고딕" w:hAnsi="맑은 고딕" w:eastAsia="맑은 고딕"/>
          <w:b/>
          <w:i w:val="0"/>
          <w:sz w:val="22"/>
        </w:rPr>
        <w:t>서면(이메일) 확인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또는 수령 후 </w:t>
      </w:r>
      <w:r>
        <w:rPr>
          <w:rFonts w:ascii="맑은 고딕" w:hAnsi="맑은 고딕" w:eastAsia="맑은 고딕"/>
          <w:b/>
          <w:i w:val="0"/>
          <w:sz w:val="22"/>
        </w:rPr>
        <w:t>5영업일 이내 이의 미제기 시 자동 완료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sz w:val="22"/>
        </w:rPr>
        <w:t>모든 산출물에 위 6요소 (포맷 / 분량 / 내용 / 언어 / 납품물 / 완료 판정)를 명시한다.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4"/>
        </w:rPr>
        <w:t>1.1.7 본계약 핵심 조항 체크리스트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ADCFC"/>
          <w:left w:val="single" w:sz="4" w:space="0" w:color="CADCFC"/>
          <w:bottom w:val="single" w:sz="4" w:space="0" w:color="CADCFC"/>
          <w:right w:val="single" w:sz="4" w:space="0" w:color="CADCFC"/>
          <w:insideH w:val="single" w:sz="4" w:space="0" w:color="CADCFC"/>
          <w:insideV w:val="single" w:sz="4" w:space="0" w:color="CADCFC"/>
        </w:tblBorders>
      </w:tblPr>
      <w:tblGrid>
        <w:gridCol w:w="4873"/>
        <w:gridCol w:w="4873"/>
      </w:tblGrid>
      <w:tr>
        <w:tc>
          <w:tcPr>
            <w:tcW w:type="dxa" w:w="4873"/>
            <w:shd w:val="clear" w:color="auto" w:fill="1E276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조항</w:t>
            </w:r>
          </w:p>
        </w:tc>
        <w:tc>
          <w:tcPr>
            <w:tcW w:type="dxa" w:w="4873"/>
            <w:shd w:val="clear" w:color="auto" w:fill="1E276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데미안 입장 권장 문구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지식재산권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"본 용역의 산출물 중 방법론, 프롬프트 라이브러리, 템플릿, 범용 프레임워크는 용역 제공자(FLOW~)에 귀속된다. 고객 고유 데이터 기반 결과물은 고객에 귀속된다."</w:t>
            </w:r>
          </w:p>
        </w:tc>
      </w:tr>
      <w:tr>
        <w:tc>
          <w:tcPr>
            <w:tcW w:type="dxa" w:w="4873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사용권</w:t>
            </w:r>
          </w:p>
        </w:tc>
        <w:tc>
          <w:tcPr>
            <w:tcW w:type="dxa" w:w="4873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"고객은 산출물을 자사 내부 교육·업무 목적에 한해 영구·비독점 사용할 수 있다. 제3자 공여·재판매·외부 교육 상품화는 별도 합의."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책임 한계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 xml:space="preserve">"본 계약상 용역 제공자의 손해배상 책임 상한은 </w:t>
            </w:r>
            <w:r>
              <w:rPr>
                <w:rFonts w:ascii="맑은 고딕" w:hAnsi="맑은 고딕" w:eastAsia="맑은 고딕"/>
                <w:b/>
                <w:i w:val="0"/>
                <w:sz w:val="20"/>
              </w:rPr>
              <w:t>본 계약 총 금액</w:t>
            </w: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을 초과하지 아니한다." — 반드시 명시</w:t>
            </w:r>
          </w:p>
        </w:tc>
      </w:tr>
      <w:tr>
        <w:tc>
          <w:tcPr>
            <w:tcW w:type="dxa" w:w="4873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보증 제외</w:t>
            </w:r>
          </w:p>
        </w:tc>
        <w:tc>
          <w:tcPr>
            <w:tcW w:type="dxa" w:w="4873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"AI 모델 출력 결과의 사실 정확성, 완전성, 최신성에 대해 보증하지 아니하며, 최종 의사결정 책임은 고객에게 있다."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간접손해 제외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"일실이익, 기회비용, 영업권 손상 등 간접·결과적 손해는 배상 범위에서 제외한다."</w:t>
            </w:r>
          </w:p>
        </w:tc>
      </w:tr>
      <w:tr>
        <w:tc>
          <w:tcPr>
            <w:tcW w:type="dxa" w:w="4873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분쟁 해결</w:t>
            </w:r>
          </w:p>
        </w:tc>
        <w:tc>
          <w:tcPr>
            <w:tcW w:type="dxa" w:w="4873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"1차 협의 → 2차 대한상사중재원 중재 → 중재 불성립 시 서울중앙지방법원"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계약해지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"상대방 중대한 의무 위반 시 14일 서면 시정요구 후 미시정 시 해지 가능"</w:t>
            </w:r>
          </w:p>
        </w:tc>
      </w:tr>
      <w:tr>
        <w:tc>
          <w:tcPr>
            <w:tcW w:type="dxa" w:w="4873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존속조항</w:t>
            </w:r>
          </w:p>
        </w:tc>
        <w:tc>
          <w:tcPr>
            <w:tcW w:type="dxa" w:w="4873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"비밀유지, 지식재산권, 책임제한은 계약 종료 후에도 존속한다."</w:t>
            </w:r>
          </w:p>
        </w:tc>
      </w:tr>
    </w:tbl>
    <w:p/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반드시 할 것: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책임 한계 조항. 이게 없으면 수천만원 계약으로 수억 손해배상 리스크.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절대 하지 말 것: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고객사 초안에 "최선을 다한다" / "업계 최고 수준 보장" 같은 모호한 보증 문구 방치.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4"/>
        </w:rPr>
        <w:t>1.1.8 범위 외 요청 대응 단가표 (2026)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ADCFC"/>
          <w:left w:val="single" w:sz="4" w:space="0" w:color="CADCFC"/>
          <w:bottom w:val="single" w:sz="4" w:space="0" w:color="CADCFC"/>
          <w:right w:val="single" w:sz="4" w:space="0" w:color="CADCFC"/>
          <w:insideH w:val="single" w:sz="4" w:space="0" w:color="CADCFC"/>
          <w:insideV w:val="single" w:sz="4" w:space="0" w:color="CADCFC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E276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구분</w:t>
            </w:r>
          </w:p>
        </w:tc>
        <w:tc>
          <w:tcPr>
            <w:tcW w:type="dxa" w:w="3249"/>
            <w:shd w:val="clear" w:color="auto" w:fill="1E276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단위</w:t>
            </w:r>
          </w:p>
        </w:tc>
        <w:tc>
          <w:tcPr>
            <w:tcW w:type="dxa" w:w="3249"/>
            <w:shd w:val="clear" w:color="auto" w:fill="1E276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단가(VAT 별도)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추가 워크숍 1회 (3h)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회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150만원</w:t>
            </w:r>
          </w:p>
        </w:tc>
      </w:tr>
      <w:tr>
        <w:tc>
          <w:tcPr>
            <w:tcW w:type="dxa" w:w="3249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추가 컨설팅 미팅 (1h)</w:t>
            </w:r>
          </w:p>
        </w:tc>
        <w:tc>
          <w:tcPr>
            <w:tcW w:type="dxa" w:w="3249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회</w:t>
            </w:r>
          </w:p>
        </w:tc>
        <w:tc>
          <w:tcPr>
            <w:tcW w:type="dxa" w:w="3249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30만원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산출물 추가 수정 (범위 외)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시간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15만원/h</w:t>
            </w:r>
          </w:p>
        </w:tc>
      </w:tr>
      <w:tr>
        <w:tc>
          <w:tcPr>
            <w:tcW w:type="dxa" w:w="3249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긴급 대응 (48h 내)</w:t>
            </w:r>
          </w:p>
        </w:tc>
        <w:tc>
          <w:tcPr>
            <w:tcW w:type="dxa" w:w="3249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할증</w:t>
            </w:r>
          </w:p>
        </w:tc>
        <w:tc>
          <w:tcPr>
            <w:tcW w:type="dxa" w:w="3249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 xml:space="preserve">기본단가의 </w:t>
            </w:r>
            <w:r>
              <w:rPr>
                <w:rFonts w:ascii="맑은 고딕" w:hAnsi="맑은 고딕" w:eastAsia="맑은 고딕"/>
                <w:b/>
                <w:i w:val="0"/>
                <w:sz w:val="20"/>
              </w:rPr>
              <w:t>1.5배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출장 (수도권 외)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건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실비 + 20만원</w:t>
            </w:r>
          </w:p>
        </w:tc>
      </w:tr>
      <w:tr>
        <w:tc>
          <w:tcPr>
            <w:tcW w:type="dxa" w:w="3249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별도 보고서 작성</w:t>
            </w:r>
          </w:p>
        </w:tc>
        <w:tc>
          <w:tcPr>
            <w:tcW w:type="dxa" w:w="3249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건</w:t>
            </w:r>
          </w:p>
        </w:tc>
        <w:tc>
          <w:tcPr>
            <w:tcW w:type="dxa" w:w="3249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300만원~</w:t>
            </w:r>
          </w:p>
        </w:tc>
      </w:tr>
    </w:tbl>
    <w:p/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 xml:space="preserve">모든 범위 외 요청은 </w:t>
      </w:r>
      <w:r>
        <w:rPr>
          <w:rFonts w:ascii="맑은 고딕" w:hAnsi="맑은 고딕" w:eastAsia="맑은 고딕"/>
          <w:b/>
          <w:i w:val="0"/>
          <w:sz w:val="22"/>
        </w:rPr>
        <w:t>CR 절차</w:t>
      </w:r>
      <w:r>
        <w:rPr>
          <w:rFonts w:ascii="맑은 고딕" w:hAnsi="맑은 고딕" w:eastAsia="맑은 고딕"/>
          <w:b w:val="0"/>
          <w:i w:val="0"/>
          <w:sz w:val="22"/>
        </w:rPr>
        <w:t>를 거쳐야 한다. 단가표가 있어도 CR 승인 없이 실행하면 청구 불가.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4"/>
        </w:rPr>
        <w:t>1.1.9 계약 종료 후 유지보수 범위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sz w:val="22"/>
        </w:rPr>
        <w:t xml:space="preserve">계약 종료 후 </w:t>
      </w:r>
      <w:r>
        <w:rPr>
          <w:rFonts w:ascii="맑은 고딕" w:hAnsi="맑은 고딕" w:eastAsia="맑은 고딕"/>
          <w:b/>
          <w:i w:val="0"/>
          <w:sz w:val="22"/>
        </w:rPr>
        <w:t>30일간 무상 Q&amp;A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(이메일 기준, 회당 30분 상당 답변)만 제공. 이후: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월 유지보수 계약</w:t>
      </w:r>
      <w:r>
        <w:rPr>
          <w:rFonts w:ascii="맑은 고딕" w:hAnsi="맑은 고딕" w:eastAsia="맑은 고딕"/>
          <w:b w:val="0"/>
          <w:i w:val="0"/>
          <w:sz w:val="22"/>
        </w:rPr>
        <w:t>: 월 200만원~ (월 4h 컨설팅 + 자료 업데이트)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SOS 단발 호출</w:t>
      </w:r>
      <w:r>
        <w:rPr>
          <w:rFonts w:ascii="맑은 고딕" w:hAnsi="맑은 고딕" w:eastAsia="맑은 고딕"/>
          <w:b w:val="0"/>
          <w:i w:val="0"/>
          <w:sz w:val="22"/>
        </w:rPr>
        <w:t>: 시간당 20만원 (최소 2시간)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절대 하지 말 것: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"언제든지 연락주세요" 구두 약속. 반드시 서면으로 범위 제한.</w:t>
      </w:r>
    </w:p>
    <w:p>
      <w:pPr>
        <w:pBdr>
          <w:bottom w:val="single" w:sz="12" w:space="1" w:color="CADCFC"/>
        </w:pBdr>
      </w:pPr>
    </w:p>
    <w:p>
      <w:pPr>
        <w:spacing w:before="200" w:after="120"/>
      </w:pPr>
      <w:r>
        <w:rPr>
          <w:rFonts w:ascii="맑은 고딕" w:hAnsi="맑은 고딕" w:eastAsia="맑은 고딕"/>
          <w:b/>
          <w:i w:val="0"/>
          <w:color w:val="1E2761"/>
          <w:sz w:val="32"/>
        </w:rPr>
        <w:t>2. 재무 가이드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2.1 견적 산정 공식</w:t>
      </w:r>
    </w:p>
    <w:p>
      <w:pPr>
        <w:spacing w:after="120"/>
        <w:ind w:left="227"/>
        <w:shd w:val="clear" w:color="auto" w:fill="F5F7FB"/>
      </w:pPr>
      <w:r>
        <w:rPr>
          <w:rFonts w:ascii="Consolas" w:hAnsi="Consolas" w:eastAsia="Consolas"/>
          <w:b w:val="0"/>
          <w:i w:val="0"/>
          <w:sz w:val="18"/>
        </w:rPr>
        <w:t>견적(공급가액) = (Σ 역할별 MD × 역할별 단가) + 리스크 버퍼(15%)</w:t>
        <w:br/>
        <w:t>총 청구액       = 공급가액 × 1.10 (VAT 10%)</w:t>
      </w:r>
    </w:p>
    <w:p>
      <w:pPr>
        <w:spacing w:after="80"/>
      </w:pPr>
      <w:r>
        <w:rPr>
          <w:rFonts w:ascii="맑은 고딕" w:hAnsi="맑은 고딕" w:eastAsia="맑은 고딕"/>
          <w:b/>
          <w:i w:val="0"/>
          <w:sz w:val="22"/>
        </w:rPr>
        <w:t>예시: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시니어 10MD + 주니어 15MD 프로젝트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인건비: (10 × 100만) + (15 × 60만) = 1,900만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리스크 버퍼 15%: 285만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공급가액: 2,185만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VAT 10%: 218.5만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총 청구액: 2,403.5만원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2.2 단가 기준 (2026 기준, FLOW~ 내부)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ADCFC"/>
          <w:left w:val="single" w:sz="4" w:space="0" w:color="CADCFC"/>
          <w:bottom w:val="single" w:sz="4" w:space="0" w:color="CADCFC"/>
          <w:right w:val="single" w:sz="4" w:space="0" w:color="CADCFC"/>
          <w:insideH w:val="single" w:sz="4" w:space="0" w:color="CADCFC"/>
          <w:insideV w:val="single" w:sz="4" w:space="0" w:color="CADCFC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E276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등급</w:t>
            </w:r>
          </w:p>
        </w:tc>
        <w:tc>
          <w:tcPr>
            <w:tcW w:type="dxa" w:w="3249"/>
            <w:shd w:val="clear" w:color="auto" w:fill="1E276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일 단가(MD)</w:t>
            </w:r>
          </w:p>
        </w:tc>
        <w:tc>
          <w:tcPr>
            <w:tcW w:type="dxa" w:w="3249"/>
            <w:shd w:val="clear" w:color="auto" w:fill="1E276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설명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Principal (데미안)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120만원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기획·설계·최종 검수·키 미팅</w:t>
            </w:r>
          </w:p>
        </w:tc>
      </w:tr>
      <w:tr>
        <w:tc>
          <w:tcPr>
            <w:tcW w:type="dxa" w:w="3249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Senior</w:t>
            </w:r>
          </w:p>
        </w:tc>
        <w:tc>
          <w:tcPr>
            <w:tcW w:type="dxa" w:w="3249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100만원</w:t>
            </w:r>
          </w:p>
        </w:tc>
        <w:tc>
          <w:tcPr>
            <w:tcW w:type="dxa" w:w="3249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메인 실행·워크숍 리드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Junior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60만원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자료 작성·리서치·운영 지원</w:t>
            </w:r>
          </w:p>
        </w:tc>
      </w:tr>
      <w:tr>
        <w:tc>
          <w:tcPr>
            <w:tcW w:type="dxa" w:w="3249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외부 전문가</w:t>
            </w:r>
          </w:p>
        </w:tc>
        <w:tc>
          <w:tcPr>
            <w:tcW w:type="dxa" w:w="3249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150~200만원</w:t>
            </w:r>
          </w:p>
        </w:tc>
        <w:tc>
          <w:tcPr>
            <w:tcW w:type="dxa" w:w="3249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별도 프로젝트별 협의</w:t>
            </w:r>
          </w:p>
        </w:tc>
      </w:tr>
    </w:tbl>
    <w:p/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1 MD = 1인 × 8시간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 xml:space="preserve">단가는 </w:t>
      </w:r>
      <w:r>
        <w:rPr>
          <w:rFonts w:ascii="맑은 고딕" w:hAnsi="맑은 고딕" w:eastAsia="맑은 고딕"/>
          <w:b/>
          <w:i w:val="0"/>
          <w:sz w:val="22"/>
        </w:rPr>
        <w:t>연 1회(1월) 재조정</w:t>
      </w:r>
      <w:r>
        <w:rPr>
          <w:rFonts w:ascii="맑은 고딕" w:hAnsi="맑은 고딕" w:eastAsia="맑은 고딕"/>
          <w:b w:val="0"/>
          <w:i w:val="0"/>
          <w:sz w:val="22"/>
        </w:rPr>
        <w:t>. 물가상승률 + 포트폴리오 축적도 반영.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2.3 5패키지별 표준 견적 범위 (VAT 별도)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ADCFC"/>
          <w:left w:val="single" w:sz="4" w:space="0" w:color="CADCFC"/>
          <w:bottom w:val="single" w:sz="4" w:space="0" w:color="CADCFC"/>
          <w:right w:val="single" w:sz="4" w:space="0" w:color="CADCFC"/>
          <w:insideH w:val="single" w:sz="4" w:space="0" w:color="CADCFC"/>
          <w:insideV w:val="single" w:sz="4" w:space="0" w:color="CADCFC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1E276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패키지</w:t>
            </w:r>
          </w:p>
        </w:tc>
        <w:tc>
          <w:tcPr>
            <w:tcW w:type="dxa" w:w="2436"/>
            <w:shd w:val="clear" w:color="auto" w:fill="1E276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기간</w:t>
            </w:r>
          </w:p>
        </w:tc>
        <w:tc>
          <w:tcPr>
            <w:tcW w:type="dxa" w:w="2436"/>
            <w:shd w:val="clear" w:color="auto" w:fill="1E276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투입 MD</w:t>
            </w:r>
          </w:p>
        </w:tc>
        <w:tc>
          <w:tcPr>
            <w:tcW w:type="dxa" w:w="2436"/>
            <w:shd w:val="clear" w:color="auto" w:fill="1E276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표준 범위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P1. AX 인식 워크숍 (1일)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1주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5~8 MD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500만 ~ 900만</w:t>
            </w:r>
          </w:p>
        </w:tc>
      </w:tr>
      <w:tr>
        <w:tc>
          <w:tcPr>
            <w:tcW w:type="dxa" w:w="2436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P2. AX 부서 도입 (4주)</w:t>
            </w:r>
          </w:p>
        </w:tc>
        <w:tc>
          <w:tcPr>
            <w:tcW w:type="dxa" w:w="2436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1개월</w:t>
            </w:r>
          </w:p>
        </w:tc>
        <w:tc>
          <w:tcPr>
            <w:tcW w:type="dxa" w:w="2436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15~25 MD</w:t>
            </w:r>
          </w:p>
        </w:tc>
        <w:tc>
          <w:tcPr>
            <w:tcW w:type="dxa" w:w="2436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1,800만 ~ 3,000만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P3. 부서 AX 파일럿 (8주)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2개월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30~50 MD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3,500만 ~ 6,000만</w:t>
            </w:r>
          </w:p>
        </w:tc>
      </w:tr>
      <w:tr>
        <w:tc>
          <w:tcPr>
            <w:tcW w:type="dxa" w:w="2436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P4. 전사 AX 로드맵 (12주)</w:t>
            </w:r>
          </w:p>
        </w:tc>
        <w:tc>
          <w:tcPr>
            <w:tcW w:type="dxa" w:w="2436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3개월</w:t>
            </w:r>
          </w:p>
        </w:tc>
        <w:tc>
          <w:tcPr>
            <w:tcW w:type="dxa" w:w="2436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50~80 MD</w:t>
            </w:r>
          </w:p>
        </w:tc>
        <w:tc>
          <w:tcPr>
            <w:tcW w:type="dxa" w:w="2436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6,000만 ~ 1억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P5. 전사 실행 파트너 (6개월+)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6개월+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100+ MD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1.2억 ~ 3억</w:t>
            </w:r>
          </w:p>
        </w:tc>
      </w:tr>
    </w:tbl>
    <w:p/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2.4 청구 일정 (권장안)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ADCFC"/>
          <w:left w:val="single" w:sz="4" w:space="0" w:color="CADCFC"/>
          <w:bottom w:val="single" w:sz="4" w:space="0" w:color="CADCFC"/>
          <w:right w:val="single" w:sz="4" w:space="0" w:color="CADCFC"/>
          <w:insideH w:val="single" w:sz="4" w:space="0" w:color="CADCFC"/>
          <w:insideV w:val="single" w:sz="4" w:space="0" w:color="CADCFC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E276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시점</w:t>
            </w:r>
          </w:p>
        </w:tc>
        <w:tc>
          <w:tcPr>
            <w:tcW w:type="dxa" w:w="3249"/>
            <w:shd w:val="clear" w:color="auto" w:fill="1E276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비율</w:t>
            </w:r>
          </w:p>
        </w:tc>
        <w:tc>
          <w:tcPr>
            <w:tcW w:type="dxa" w:w="3249"/>
            <w:shd w:val="clear" w:color="auto" w:fill="1E276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조건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Kickoff 시점 (T-0)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30%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계약 체결 후 7영업일 내 입금</w:t>
            </w:r>
          </w:p>
        </w:tc>
      </w:tr>
      <w:tr>
        <w:tc>
          <w:tcPr>
            <w:tcW w:type="dxa" w:w="3249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중간 마일스톤 (중간 보고)</w:t>
            </w:r>
          </w:p>
        </w:tc>
        <w:tc>
          <w:tcPr>
            <w:tcW w:type="dxa" w:w="3249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40%</w:t>
            </w:r>
          </w:p>
        </w:tc>
        <w:tc>
          <w:tcPr>
            <w:tcW w:type="dxa" w:w="3249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중간 산출물 승인 후 7영업일 내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최종 납품 (완료)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30%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최종 완료 승인 후 14영업일 내</w:t>
            </w:r>
          </w:p>
        </w:tc>
      </w:tr>
    </w:tbl>
    <w:p/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소규모 계약(2,000만 미만):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50% / 50% (Kickoff / 완료)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장기 계약(6개월+):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10% 착수금 + 월 균등 청구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2.5 VAT 10% 처리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데미안 사업자 유형 = 과세사업자 (일반과세)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가정 (AX 컨설팅은 면세업종 아님)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 xml:space="preserve">모든 견적·계약서에 </w:t>
      </w:r>
      <w:r>
        <w:rPr>
          <w:rFonts w:ascii="맑은 고딕" w:hAnsi="맑은 고딕" w:eastAsia="맑은 고딕"/>
          <w:b/>
          <w:i w:val="0"/>
          <w:sz w:val="22"/>
        </w:rPr>
        <w:t>"VAT 10% 별도"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명시 (이것 놓치면 실수령이 9.09% 깎인다)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세금계산서 발행 시 공급가액과 세액 분리 표기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절대 하지 말 것: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"부가세 포함 2천만원" 식 모호한 표기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2.6 원천세 3.3% vs 부가세 10% 구분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ADCFC"/>
          <w:left w:val="single" w:sz="4" w:space="0" w:color="CADCFC"/>
          <w:bottom w:val="single" w:sz="4" w:space="0" w:color="CADCFC"/>
          <w:right w:val="single" w:sz="4" w:space="0" w:color="CADCFC"/>
          <w:insideH w:val="single" w:sz="4" w:space="0" w:color="CADCFC"/>
          <w:insideV w:val="single" w:sz="4" w:space="0" w:color="CADCFC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E276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구분</w:t>
            </w:r>
          </w:p>
        </w:tc>
        <w:tc>
          <w:tcPr>
            <w:tcW w:type="dxa" w:w="3249"/>
            <w:shd w:val="clear" w:color="auto" w:fill="1E276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원천세 3.3%</w:t>
            </w:r>
          </w:p>
        </w:tc>
        <w:tc>
          <w:tcPr>
            <w:tcW w:type="dxa" w:w="3249"/>
            <w:shd w:val="clear" w:color="auto" w:fill="1E276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부가세 10%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대상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사업소득</w:t>
            </w: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(프리랜서 개인, 간이과세자 일부)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과세사업자 용역</w:t>
            </w:r>
          </w:p>
        </w:tc>
      </w:tr>
      <w:tr>
        <w:tc>
          <w:tcPr>
            <w:tcW w:type="dxa" w:w="3249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공제자</w:t>
            </w:r>
          </w:p>
        </w:tc>
        <w:tc>
          <w:tcPr>
            <w:tcW w:type="dxa" w:w="3249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지급자(고객사)가 원천징수 후 송금</w:t>
            </w:r>
          </w:p>
        </w:tc>
        <w:tc>
          <w:tcPr>
            <w:tcW w:type="dxa" w:w="3249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공급자(데미안)가 수령 후 분기 신고·납부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세금계산서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 xml:space="preserve">발행 </w:t>
            </w:r>
            <w:r>
              <w:rPr>
                <w:rFonts w:ascii="맑은 고딕" w:hAnsi="맑은 고딕" w:eastAsia="맑은 고딕"/>
                <w:b/>
                <w:i w:val="0"/>
                <w:sz w:val="20"/>
              </w:rPr>
              <w:t>안 함</w:t>
            </w: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 xml:space="preserve"> (원천징수영수증)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반드시 발행</w:t>
            </w:r>
          </w:p>
        </w:tc>
      </w:tr>
      <w:tr>
        <w:tc>
          <w:tcPr>
            <w:tcW w:type="dxa" w:w="3249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데미안 경우</w:t>
            </w:r>
          </w:p>
        </w:tc>
        <w:tc>
          <w:tcPr>
            <w:tcW w:type="dxa" w:w="3249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해당 없음</w:t>
            </w: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 xml:space="preserve"> (일반 과세사업자 기준)</w:t>
            </w:r>
          </w:p>
        </w:tc>
        <w:tc>
          <w:tcPr>
            <w:tcW w:type="dxa" w:w="3249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해당</w:t>
            </w:r>
          </w:p>
        </w:tc>
      </w:tr>
    </w:tbl>
    <w:p/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핵심: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데미안이 일반 과세사업자 법인/개인사업자로 세금계산서 발행 체계면 원천세 3.3% 공제는 </w:t>
      </w:r>
      <w:r>
        <w:rPr>
          <w:rFonts w:ascii="맑은 고딕" w:hAnsi="맑은 고딕" w:eastAsia="맑은 고딕"/>
          <w:b/>
          <w:i w:val="0"/>
          <w:sz w:val="22"/>
        </w:rPr>
        <w:t>없어야 한다</w:t>
      </w:r>
      <w:r>
        <w:rPr>
          <w:rFonts w:ascii="맑은 고딕" w:hAnsi="맑은 고딕" w:eastAsia="맑은 고딕"/>
          <w:b w:val="0"/>
          <w:i w:val="0"/>
          <w:sz w:val="22"/>
        </w:rPr>
        <w:t>. 고객사가 원천징수하려 하면 "저희는 과세사업자라 세금계산서 발행합니다" 라고 정정.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만약 고객사 규정상 원천세 공제가 필수라면 → 그 고객은 데미안을 "프리랜서 사업소득자"로 처리 중 → 세무사 상담 필수.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2.7 세금계산서 발행 타이밍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ADCFC"/>
          <w:left w:val="single" w:sz="4" w:space="0" w:color="CADCFC"/>
          <w:bottom w:val="single" w:sz="4" w:space="0" w:color="CADCFC"/>
          <w:right w:val="single" w:sz="4" w:space="0" w:color="CADCFC"/>
          <w:insideH w:val="single" w:sz="4" w:space="0" w:color="CADCFC"/>
          <w:insideV w:val="single" w:sz="4" w:space="0" w:color="CADCFC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E276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시점</w:t>
            </w:r>
          </w:p>
        </w:tc>
        <w:tc>
          <w:tcPr>
            <w:tcW w:type="dxa" w:w="3249"/>
            <w:shd w:val="clear" w:color="auto" w:fill="1E276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발행일</w:t>
            </w:r>
          </w:p>
        </w:tc>
        <w:tc>
          <w:tcPr>
            <w:tcW w:type="dxa" w:w="3249"/>
            <w:shd w:val="clear" w:color="auto" w:fill="1E276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근거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Kickoff 청구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입금 요청일 당일 또는 입금일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공급시기 = 대가를 받기로 한 때</w:t>
            </w:r>
          </w:p>
        </w:tc>
      </w:tr>
      <w:tr>
        <w:tc>
          <w:tcPr>
            <w:tcW w:type="dxa" w:w="3249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중간/완료 청구</w:t>
            </w:r>
          </w:p>
        </w:tc>
        <w:tc>
          <w:tcPr>
            <w:tcW w:type="dxa" w:w="3249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 xml:space="preserve">마일스톤 승인일로부터 </w:t>
            </w:r>
            <w:r>
              <w:rPr>
                <w:rFonts w:ascii="맑은 고딕" w:hAnsi="맑은 고딕" w:eastAsia="맑은 고딕"/>
                <w:b/>
                <w:i w:val="0"/>
                <w:sz w:val="20"/>
              </w:rPr>
              <w:t>10일 이내</w:t>
            </w:r>
          </w:p>
        </w:tc>
        <w:tc>
          <w:tcPr>
            <w:tcW w:type="dxa" w:w="3249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부가세법 시행령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월 정기 청구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매월 말일자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월 단위 공급</w:t>
            </w:r>
          </w:p>
        </w:tc>
      </w:tr>
    </w:tbl>
    <w:p/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 xml:space="preserve">홈택스 전자세금계산서 발행 </w:t>
      </w:r>
      <w:r>
        <w:rPr>
          <w:rFonts w:ascii="맑은 고딕" w:hAnsi="맑은 고딕" w:eastAsia="맑은 고딕"/>
          <w:b/>
          <w:i w:val="0"/>
          <w:sz w:val="22"/>
        </w:rPr>
        <w:t>의무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(개인사업자 연매출 8천만 이상, 법인 전부)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발행 지연 시 가산세 1% (공급가액 기준)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2.8 지연 이자 / 대금 미납 대응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 xml:space="preserve">계약서에 </w:t>
      </w:r>
      <w:r>
        <w:rPr>
          <w:rFonts w:ascii="맑은 고딕" w:hAnsi="맑은 고딕" w:eastAsia="맑은 고딕"/>
          <w:b/>
          <w:i w:val="0"/>
          <w:sz w:val="22"/>
        </w:rPr>
        <w:t>연체이자 연 6%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조항 포함 (상법상 상사법정이율)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입금 기한 초과 시 대응 순서:</w:t>
      </w:r>
    </w:p>
    <w:p>
      <w:pPr>
        <w:pStyle w:val="ListNumber"/>
        <w:spacing w:after="40"/>
        <w:ind w:left="624"/>
      </w:pPr>
      <w:r>
        <w:rPr>
          <w:rFonts w:ascii="맑은 고딕" w:hAnsi="맑은 고딕" w:eastAsia="맑은 고딕"/>
          <w:b w:val="0"/>
          <w:i w:val="0"/>
          <w:sz w:val="22"/>
        </w:rPr>
        <w:t>D+1: 담당자 리마인드 이메일</w:t>
      </w:r>
    </w:p>
    <w:p>
      <w:pPr>
        <w:pStyle w:val="ListNumber"/>
        <w:spacing w:after="40"/>
        <w:ind w:left="624"/>
      </w:pPr>
      <w:r>
        <w:rPr>
          <w:rFonts w:ascii="맑은 고딕" w:hAnsi="맑은 고딕" w:eastAsia="맑은 고딕"/>
          <w:b w:val="0"/>
          <w:i w:val="0"/>
          <w:sz w:val="22"/>
        </w:rPr>
        <w:t>D+7: 공식 독촉장 (이메일 + 등기)</w:t>
      </w:r>
    </w:p>
    <w:p>
      <w:pPr>
        <w:pStyle w:val="ListNumber"/>
        <w:spacing w:after="40"/>
        <w:ind w:left="624"/>
      </w:pPr>
      <w:r>
        <w:rPr>
          <w:rFonts w:ascii="맑은 고딕" w:hAnsi="맑은 고딕" w:eastAsia="맑은 고딕"/>
          <w:b w:val="0"/>
          <w:i w:val="0"/>
          <w:sz w:val="22"/>
        </w:rPr>
        <w:t>D+14: 내용증명 발송</w:t>
      </w:r>
    </w:p>
    <w:p>
      <w:pPr>
        <w:pStyle w:val="ListNumber"/>
        <w:spacing w:after="40"/>
        <w:ind w:left="624"/>
      </w:pPr>
      <w:r>
        <w:rPr>
          <w:rFonts w:ascii="맑은 고딕" w:hAnsi="맑은 고딕" w:eastAsia="맑은 고딕"/>
          <w:b w:val="0"/>
          <w:i w:val="0"/>
          <w:sz w:val="22"/>
        </w:rPr>
        <w:t>D+30: 지급명령 신청 (법원, 소액은 전자소송 가능)</w:t>
      </w:r>
    </w:p>
    <w:p>
      <w:pPr>
        <w:pStyle w:val="ListNumber"/>
        <w:spacing w:after="40"/>
        <w:ind w:left="624"/>
      </w:pPr>
      <w:r>
        <w:rPr>
          <w:rFonts w:ascii="맑은 고딕" w:hAnsi="맑은 고딕" w:eastAsia="맑은 고딕"/>
          <w:b w:val="0"/>
          <w:i w:val="0"/>
          <w:sz w:val="22"/>
        </w:rPr>
        <w:t>D+60: 민사소송 (변호사 상담)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반드시 할 것: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미납 발생 즉시 추가 작업 중단. "일은 계속 하면서 독촉"은 최악.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2.9 개인사업자 vs 법인 세무 차이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ADCFC"/>
          <w:left w:val="single" w:sz="4" w:space="0" w:color="CADCFC"/>
          <w:bottom w:val="single" w:sz="4" w:space="0" w:color="CADCFC"/>
          <w:right w:val="single" w:sz="4" w:space="0" w:color="CADCFC"/>
          <w:insideH w:val="single" w:sz="4" w:space="0" w:color="CADCFC"/>
          <w:insideV w:val="single" w:sz="4" w:space="0" w:color="CADCFC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E276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항목</w:t>
            </w:r>
          </w:p>
        </w:tc>
        <w:tc>
          <w:tcPr>
            <w:tcW w:type="dxa" w:w="3249"/>
            <w:shd w:val="clear" w:color="auto" w:fill="1E276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개인사업자</w:t>
            </w:r>
          </w:p>
        </w:tc>
        <w:tc>
          <w:tcPr>
            <w:tcW w:type="dxa" w:w="3249"/>
            <w:shd w:val="clear" w:color="auto" w:fill="1E276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법인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세율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종합소득세 6~45% 누진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법인세 9~24%</w:t>
            </w:r>
          </w:p>
        </w:tc>
      </w:tr>
      <w:tr>
        <w:tc>
          <w:tcPr>
            <w:tcW w:type="dxa" w:w="3249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설립 비용</w:t>
            </w:r>
          </w:p>
        </w:tc>
        <w:tc>
          <w:tcPr>
            <w:tcW w:type="dxa" w:w="3249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무료</w:t>
            </w:r>
          </w:p>
        </w:tc>
        <w:tc>
          <w:tcPr>
            <w:tcW w:type="dxa" w:w="3249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50~100만원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신고 주기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연 1회(5월)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연 1회(3월) + 중간예납</w:t>
            </w:r>
          </w:p>
        </w:tc>
      </w:tr>
      <w:tr>
        <w:tc>
          <w:tcPr>
            <w:tcW w:type="dxa" w:w="3249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대표 보수</w:t>
            </w:r>
          </w:p>
        </w:tc>
        <w:tc>
          <w:tcPr>
            <w:tcW w:type="dxa" w:w="3249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전액 본인</w:t>
            </w:r>
          </w:p>
        </w:tc>
        <w:tc>
          <w:tcPr>
            <w:tcW w:type="dxa" w:w="3249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근로소득 처리 (4대보험)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대외 신뢰도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낮음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높음 (대기업 계약 유리)</w:t>
            </w:r>
          </w:p>
        </w:tc>
      </w:tr>
      <w:tr>
        <w:tc>
          <w:tcPr>
            <w:tcW w:type="dxa" w:w="3249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권장 전환 시점</w:t>
            </w:r>
          </w:p>
        </w:tc>
        <w:tc>
          <w:tcPr>
            <w:tcW w:type="dxa" w:w="3249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 xml:space="preserve">연 매출 </w:t>
            </w:r>
            <w:r>
              <w:rPr>
                <w:rFonts w:ascii="맑은 고딕" w:hAnsi="맑은 고딕" w:eastAsia="맑은 고딕"/>
                <w:b/>
                <w:i w:val="0"/>
                <w:sz w:val="20"/>
              </w:rPr>
              <w:t>7천만 초과 지속</w:t>
            </w: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 xml:space="preserve"> 시 법인 전환 검토</w:t>
            </w:r>
          </w:p>
        </w:tc>
        <w:tc>
          <w:tcPr>
            <w:tcW w:type="dxa" w:w="3249"/>
            <w:shd w:val="clear" w:color="auto" w:fill="F5F7FB"/>
            <w:vAlign w:val="center"/>
          </w:tcPr>
          <w:p>
            <w:r/>
          </w:p>
        </w:tc>
      </w:tr>
    </w:tbl>
    <w:p/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2026년 기준 FLOW~ 초기: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개인사업자(일반과세)로 시작 → 연매출 1억 근접 시 세무사와 법인 전환 상담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2.10 연간 매출 신고 체크리스트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[ ] 1월: 전년 4분기 부가세 신고 (1.25까지)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[ ] 2월: 전년 세금계산서 발행 내역 정리, 인건비 지급명세서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[ ] 3월: (법인) 법인세 신고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[ ] 4월: 1분기 부가세 예정신고(법인)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[ ] 5월: (개인) 종합소득세 신고·납부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[ ] 7월: 2분기 부가세 확정신고(7.25까지)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[ ] 10월: 3분기 부가세 예정신고(법인)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반드시 할 것: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월 1회 장부 정리 (수기 or 삼쩜삼/캐시노트). 연말 몰아서 하면 반드시 누락된다.</w:t>
      </w:r>
    </w:p>
    <w:p>
      <w:pPr>
        <w:pBdr>
          <w:bottom w:val="single" w:sz="12" w:space="1" w:color="CADCFC"/>
        </w:pBdr>
      </w:pPr>
    </w:p>
    <w:p>
      <w:pPr>
        <w:spacing w:before="200" w:after="120"/>
      </w:pPr>
      <w:r>
        <w:rPr>
          <w:rFonts w:ascii="맑은 고딕" w:hAnsi="맑은 고딕" w:eastAsia="맑은 고딕"/>
          <w:b/>
          <w:i w:val="0"/>
          <w:color w:val="1E2761"/>
          <w:sz w:val="32"/>
        </w:rPr>
        <w:t>3. 보안 가이드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3.1 고객사 데이터 분류 3단계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ADCFC"/>
          <w:left w:val="single" w:sz="4" w:space="0" w:color="CADCFC"/>
          <w:bottom w:val="single" w:sz="4" w:space="0" w:color="CADCFC"/>
          <w:right w:val="single" w:sz="4" w:space="0" w:color="CADCFC"/>
          <w:insideH w:val="single" w:sz="4" w:space="0" w:color="CADCFC"/>
          <w:insideV w:val="single" w:sz="4" w:space="0" w:color="CADCFC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1E276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Level</w:t>
            </w:r>
          </w:p>
        </w:tc>
        <w:tc>
          <w:tcPr>
            <w:tcW w:type="dxa" w:w="2436"/>
            <w:shd w:val="clear" w:color="auto" w:fill="1E276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분류</w:t>
            </w:r>
          </w:p>
        </w:tc>
        <w:tc>
          <w:tcPr>
            <w:tcW w:type="dxa" w:w="2436"/>
            <w:shd w:val="clear" w:color="auto" w:fill="1E276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예시</w:t>
            </w:r>
          </w:p>
        </w:tc>
        <w:tc>
          <w:tcPr>
            <w:tcW w:type="dxa" w:w="2436"/>
            <w:shd w:val="clear" w:color="auto" w:fill="1E276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취급 원칙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L1 공개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대외 공개정보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홈페이지, IR, 보도자료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자유 사용</w:t>
            </w:r>
          </w:p>
        </w:tc>
      </w:tr>
      <w:tr>
        <w:tc>
          <w:tcPr>
            <w:tcW w:type="dxa" w:w="2436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L2 내부</w:t>
            </w:r>
          </w:p>
        </w:tc>
        <w:tc>
          <w:tcPr>
            <w:tcW w:type="dxa" w:w="2436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직원 대상 문서</w:t>
            </w:r>
          </w:p>
        </w:tc>
        <w:tc>
          <w:tcPr>
            <w:tcW w:type="dxa" w:w="2436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조직도, 내부 공지, 일반 업무 자료</w:t>
            </w:r>
          </w:p>
        </w:tc>
        <w:tc>
          <w:tcPr>
            <w:tcW w:type="dxa" w:w="2436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NDA 후 취급, 고객사 전용 폴더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L3 기밀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비공개·민감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재무, 고객DB, 계약서, 개인정보, 전략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NDA + 별도 확인서, 암호화 필수, 외부 AI 입력 금지</w:t>
            </w:r>
          </w:p>
        </w:tc>
      </w:tr>
    </w:tbl>
    <w:p/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L3는 절대 퍼블릭 AI(ChatGPT Free/Plus, Gemini Free, Claude Free 등)에 입력 금지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L3 처리는 Enterprise 플랜 또는 API (학습 거부 설정) 환경에서만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3.2 NDA 체결 전 금지사항 (엄격)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[ ] 고객사 내부 문서 수령 금지 (PPT, Excel, PDF 일체)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[ ] 고객사 시스템 접근 계정 수령 금지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[ ] 고객사 직원 개인정보(명함 제외) 수령 금지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[ ] 업무 대행 시작 금지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[ ] 고객사명·로고 외부 언급 금지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허용: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공개 정보 기반 브레인스토밍, 일반론적 컨설팅 조언, NDA 초안 교환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3.3 AI 플랫폼 선택 원칙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4"/>
        </w:rPr>
        <w:t>3.3.1 학습 반영 차단 확인법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ADCFC"/>
          <w:left w:val="single" w:sz="4" w:space="0" w:color="CADCFC"/>
          <w:bottom w:val="single" w:sz="4" w:space="0" w:color="CADCFC"/>
          <w:right w:val="single" w:sz="4" w:space="0" w:color="CADCFC"/>
          <w:insideH w:val="single" w:sz="4" w:space="0" w:color="CADCFC"/>
          <w:insideV w:val="single" w:sz="4" w:space="0" w:color="CADCFC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E276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플랫폼</w:t>
            </w:r>
          </w:p>
        </w:tc>
        <w:tc>
          <w:tcPr>
            <w:tcW w:type="dxa" w:w="3249"/>
            <w:shd w:val="clear" w:color="auto" w:fill="1E276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학습 차단 가능 플랜</w:t>
            </w:r>
          </w:p>
        </w:tc>
        <w:tc>
          <w:tcPr>
            <w:tcW w:type="dxa" w:w="3249"/>
            <w:shd w:val="clear" w:color="auto" w:fill="1E276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확인 방법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ChatGPT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Team / Enterprise / API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 xml:space="preserve">설정 → Data Controls → "Improve model for everyone" </w:t>
            </w:r>
            <w:r>
              <w:rPr>
                <w:rFonts w:ascii="맑은 고딕" w:hAnsi="맑은 고딕" w:eastAsia="맑은 고딕"/>
                <w:b/>
                <w:i w:val="0"/>
                <w:sz w:val="20"/>
              </w:rPr>
              <w:t>OFF</w:t>
            </w:r>
          </w:p>
        </w:tc>
      </w:tr>
      <w:tr>
        <w:tc>
          <w:tcPr>
            <w:tcW w:type="dxa" w:w="3249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Claude</w:t>
            </w:r>
          </w:p>
        </w:tc>
        <w:tc>
          <w:tcPr>
            <w:tcW w:type="dxa" w:w="3249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Team / Enterprise / API</w:t>
            </w:r>
          </w:p>
        </w:tc>
        <w:tc>
          <w:tcPr>
            <w:tcW w:type="dxa" w:w="3249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기본값으로 학습 미사용 (Anthropic 정책)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Gemini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Workspace (Business/Enterprise) / Vertex AI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Workspace는 기본 학습 차단. 개인 Gemini는 학습에 사용됨</w:t>
            </w:r>
          </w:p>
        </w:tc>
      </w:tr>
      <w:tr>
        <w:tc>
          <w:tcPr>
            <w:tcW w:type="dxa" w:w="3249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Copilot (M365)</w:t>
            </w:r>
          </w:p>
        </w:tc>
        <w:tc>
          <w:tcPr>
            <w:tcW w:type="dxa" w:w="3249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Copilot for M365 (유료)</w:t>
            </w:r>
          </w:p>
        </w:tc>
        <w:tc>
          <w:tcPr>
            <w:tcW w:type="dxa" w:w="3249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테넌트 데이터 학습 미사용</w:t>
            </w:r>
          </w:p>
        </w:tc>
      </w:tr>
    </w:tbl>
    <w:p/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반드시 할 것: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고객사 프로젝트 착수 전, 사용할 플랫폼의 플랜·설정 캡처 → 프로젝트 폴더에 저장 (감사 증빙)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4"/>
        </w:rPr>
        <w:t>3.3.2 플랫폼별 데이터 정책 요약 (2026년 4월 현재)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ChatGPT Free/Plus: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기본적으로 학습에 사용 (opt-out 가능하나 고객사 데이터 입력 부적합)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ChatGPT Team/Enterprise: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학습 미사용, SOC 2, GDPR, 데이터 암호화(전송/저장)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Claude Free/Pro: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학습 미사용이 기본값 (Anthropic). 단, 신고된 대화는 검토 가능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Claude Team/Enterprise: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학습 미사용 보장, BAA(의료) 지원, SOC 2 Type II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Gemini (개인):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학습 </w:t>
      </w:r>
      <w:r>
        <w:rPr>
          <w:rFonts w:ascii="맑은 고딕" w:hAnsi="맑은 고딕" w:eastAsia="맑은 고딕"/>
          <w:b/>
          <w:i w:val="0"/>
          <w:sz w:val="22"/>
        </w:rPr>
        <w:t>사용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(18세 이상 기본). 고객 데이터 입력 </w:t>
      </w:r>
      <w:r>
        <w:rPr>
          <w:rFonts w:ascii="맑은 고딕" w:hAnsi="맑은 고딕" w:eastAsia="맑은 고딕"/>
          <w:b/>
          <w:i w:val="0"/>
          <w:sz w:val="22"/>
        </w:rPr>
        <w:t>금지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Gemini for Workspace: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학습 미사용, 고객 데이터 격리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Vertex AI / Azure OpenAI: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학습 미사용, 리전 선택 가능, 기업용 표준</w:t>
      </w:r>
    </w:p>
    <w:p>
      <w:pPr>
        <w:spacing w:after="80"/>
      </w:pPr>
      <w:r>
        <w:rPr>
          <w:rFonts w:ascii="맑은 고딕" w:hAnsi="맑은 고딕" w:eastAsia="맑은 고딕"/>
          <w:b/>
          <w:i w:val="0"/>
          <w:sz w:val="22"/>
        </w:rPr>
        <w:t>FLOW~ 표준: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L2 이상 데이터는 반드시 </w:t>
      </w:r>
      <w:r>
        <w:rPr>
          <w:rFonts w:ascii="맑은 고딕" w:hAnsi="맑은 고딕" w:eastAsia="맑은 고딕"/>
          <w:b/>
          <w:i w:val="0"/>
          <w:sz w:val="22"/>
        </w:rPr>
        <w:t>Team/Enterprise/API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등급에서만 처리.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3.4 프롬프트 로그 관리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 xml:space="preserve">[ ] 고객사별 전용 폴더 구조: </w:t>
      </w:r>
      <w:r>
        <w:rPr>
          <w:rFonts w:ascii="Consolas" w:hAnsi="Consolas" w:eastAsia="Consolas"/>
          <w:b w:val="0"/>
          <w:i w:val="0"/>
          <w:sz w:val="20"/>
        </w:rPr>
        <w:t>clients/{고객사명}/{프로젝트코드}/logs/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[ ] 로그 저장 포맷: 날짜-시간-사용모델-요약.md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 xml:space="preserve">[ ] 로컬 저장소 </w:t>
      </w:r>
      <w:r>
        <w:rPr>
          <w:rFonts w:ascii="맑은 고딕" w:hAnsi="맑은 고딕" w:eastAsia="맑은 고딕"/>
          <w:b/>
          <w:i w:val="0"/>
          <w:sz w:val="22"/>
        </w:rPr>
        <w:t>디스크 암호화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(BitLocker/FileVault) 필수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[ ] 클라우드 저장 시 고객사 전용 폴더 + 접근 권한 최소화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 xml:space="preserve">[ ] 프로젝트 종료 시 </w:t>
      </w:r>
      <w:r>
        <w:rPr>
          <w:rFonts w:ascii="맑은 고딕" w:hAnsi="맑은 고딕" w:eastAsia="맑은 고딕"/>
          <w:b/>
          <w:i w:val="0"/>
          <w:sz w:val="22"/>
        </w:rPr>
        <w:t>30일 내 파기</w:t>
      </w:r>
      <w:r>
        <w:rPr>
          <w:rFonts w:ascii="맑은 고딕" w:hAnsi="맑은 고딕" w:eastAsia="맑은 고딕"/>
          <w:b w:val="0"/>
          <w:i w:val="0"/>
          <w:sz w:val="22"/>
        </w:rPr>
        <w:t>, 파기 증빙서 발행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파기 증빙서 양식: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파기일자, 대상 폴더/파일 목록, 파기 방법(영구삭제/덮어쓰기/HDD 물리파기), 담당자 서명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3.5 개인정보 가명처리 (2025 개정 개인정보보호법 대응)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sz w:val="22"/>
        </w:rPr>
        <w:t>가명처리 원칙: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직접 식별자 제거: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성명, 주민번호, 전화번호, 이메일, 주소 → 완전 제거 또는 해시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간접 식별자 일반화: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나이 → 연령대(30대), 정확주소 → 시/구, 정확급여 → 급여대(5천만대)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재식별 방지: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k-익명성 (k≥5) 확보 권장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절대 하지 말 것: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"이름만 가리면 된다" 수준의 마스킹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3.6 민감정보 취급 금지 원칙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sz w:val="22"/>
        </w:rPr>
        <w:t xml:space="preserve">다음은 FLOW~ 컨설팅 범위에서 </w:t>
      </w:r>
      <w:r>
        <w:rPr>
          <w:rFonts w:ascii="맑은 고딕" w:hAnsi="맑은 고딕" w:eastAsia="맑은 고딕"/>
          <w:b/>
          <w:i w:val="0"/>
          <w:sz w:val="22"/>
        </w:rPr>
        <w:t>원칙적으로 입력·처리 금지</w:t>
      </w:r>
      <w:r>
        <w:rPr>
          <w:rFonts w:ascii="맑은 고딕" w:hAnsi="맑은 고딕" w:eastAsia="맑은 고딕"/>
          <w:b w:val="0"/>
          <w:i w:val="0"/>
          <w:sz w:val="22"/>
        </w:rPr>
        <w:t>: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건강·의료 정보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신용·금융 계좌·신용카드 정보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사상·신념·정치적 견해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노동조합·정당 가입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성생활·성적 지향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유전자·생체인식 정보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범죄경력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주민등록번호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sz w:val="22"/>
        </w:rPr>
        <w:t xml:space="preserve">고객사가 이런 데이터 분석을 요청할 경우 → </w:t>
      </w:r>
      <w:r>
        <w:rPr>
          <w:rFonts w:ascii="맑은 고딕" w:hAnsi="맑은 고딕" w:eastAsia="맑은 고딕"/>
          <w:b/>
          <w:i w:val="0"/>
          <w:sz w:val="22"/>
        </w:rPr>
        <w:t>별도 계약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+ 개인정보 영향평가(PIA) + 법무 자문 필수.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3.7 Shadow AI 탐지·양성화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sz w:val="22"/>
        </w:rPr>
        <w:t>고객사 내부에 승인 없이 쓰이는 AI를 파악하는 절차:</w:t>
      </w:r>
    </w:p>
    <w:p>
      <w:pPr>
        <w:pStyle w:val="ListNumber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설문: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전 직원 익명 설문 ("어떤 AI 도구를 업무에 쓰고 계신가요?")</w:t>
      </w:r>
    </w:p>
    <w:p>
      <w:pPr>
        <w:pStyle w:val="ListNumber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로그 분석: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방화벽/프록시 로그에서 AI 서비스 도메인 접속 추출</w:t>
      </w:r>
    </w:p>
    <w:p>
      <w:pPr>
        <w:pStyle w:val="ListNumber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인터뷰: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부서장 5~10명 1:1</w:t>
      </w:r>
    </w:p>
    <w:p>
      <w:pPr>
        <w:pStyle w:val="ListNumber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리스크 평가: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각 도구의 데이터 노출 범위·빈도 스코어링</w:t>
      </w:r>
    </w:p>
    <w:p>
      <w:pPr>
        <w:pStyle w:val="ListNumber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양성화 정책: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승인 목록(Whitelist) 발표 + 교육 + 모니터링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3.8 NIST AI RMF 체크리스트 (20항목)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4"/>
        </w:rPr>
        <w:t>GOVERN (거버넌스, 5)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[ ] AI 정책 문서화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[ ] 역할·책임 정의 (Owner, Reviewer)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[ ] 윤리·안전 원칙 수립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[ ] 제3자 AI 공급망 관리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[ ] 사고 보고 체계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4"/>
        </w:rPr>
        <w:t>MAP (맥락 파악, 5)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[ ] AI 사용 목적 명시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[ ] 이해관계자 식별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[ ] 리스크 카테고리 분류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[ ] 법규 적용 여부 확인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[ ] 영향받는 대상(직원·고객) 매핑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4"/>
        </w:rPr>
        <w:t>MEASURE (측정, 5)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[ ] 정확성 메트릭 정의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[ ] 편향(Bias) 테스트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[ ] 견고성(Robustness) 테스트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[ ] 개인정보 노출 테스트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[ ] 출력 설명가능성 평가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4"/>
        </w:rPr>
        <w:t>MANAGE (관리, 5)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[ ] 리스크 대응 우선순위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[ ] 모니터링 체계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[ ] 사고 대응 계획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[ ] 사용자 피드백 루프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[ ] 정기 재평가(분기 1회)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3.9 EU AI Act 리스크 분류 (간단 맵핑)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ADCFC"/>
          <w:left w:val="single" w:sz="4" w:space="0" w:color="CADCFC"/>
          <w:bottom w:val="single" w:sz="4" w:space="0" w:color="CADCFC"/>
          <w:right w:val="single" w:sz="4" w:space="0" w:color="CADCFC"/>
          <w:insideH w:val="single" w:sz="4" w:space="0" w:color="CADCFC"/>
          <w:insideV w:val="single" w:sz="4" w:space="0" w:color="CADCFC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E276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리스크 등급</w:t>
            </w:r>
          </w:p>
        </w:tc>
        <w:tc>
          <w:tcPr>
            <w:tcW w:type="dxa" w:w="3249"/>
            <w:shd w:val="clear" w:color="auto" w:fill="1E276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예시</w:t>
            </w:r>
          </w:p>
        </w:tc>
        <w:tc>
          <w:tcPr>
            <w:tcW w:type="dxa" w:w="3249"/>
            <w:shd w:val="clear" w:color="auto" w:fill="1E276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컨설팅 대응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금지 (Unacceptable)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사회적 점수 매김, 조작형 AI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프로젝트 거절</w:t>
            </w:r>
          </w:p>
        </w:tc>
      </w:tr>
      <w:tr>
        <w:tc>
          <w:tcPr>
            <w:tcW w:type="dxa" w:w="3249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고위험 (High-risk)</w:t>
            </w:r>
          </w:p>
        </w:tc>
        <w:tc>
          <w:tcPr>
            <w:tcW w:type="dxa" w:w="3249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채용, 신용평가, 의료진단</w:t>
            </w:r>
          </w:p>
        </w:tc>
        <w:tc>
          <w:tcPr>
            <w:tcW w:type="dxa" w:w="3249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적합성 평가 + 문서화 필수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제한적 (Limited)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챗봇, 딥페이크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투명성 고지 의무</w:t>
            </w:r>
          </w:p>
        </w:tc>
      </w:tr>
      <w:tr>
        <w:tc>
          <w:tcPr>
            <w:tcW w:type="dxa" w:w="3249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최소 (Minimal)</w:t>
            </w:r>
          </w:p>
        </w:tc>
        <w:tc>
          <w:tcPr>
            <w:tcW w:type="dxa" w:w="3249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스팸필터, 게임AI</w:t>
            </w:r>
          </w:p>
        </w:tc>
        <w:tc>
          <w:tcPr>
            <w:tcW w:type="dxa" w:w="3249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자발 규약 권장</w:t>
            </w:r>
          </w:p>
        </w:tc>
      </w:tr>
    </w:tbl>
    <w:p/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한국 기업이어도 EU 시민 대상 서비스면 EU AI Act 적용. 확인 필수.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3.10 국내 AI기본법(2026 시행) 대응 포인트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고영향 AI 사전 고지 의무: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채용, 대출, 의료, 행정 등에 AI 쓸 경우 이용자에게 고지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생성형 AI 산출물 표시 의무: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AI 생성물에 "AI 생성" 워터마크·라벨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영향평가 의무: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공공·고영향 AI는 사전 영향평가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국내 대리인 지정: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해외 AI 사업자는 국내 대리인 필수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벌칙: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위반 시 최대 3천만원 과태료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sz w:val="22"/>
        </w:rPr>
        <w:t xml:space="preserve">FLOW~ 컨설팅 산출물에 </w:t>
      </w:r>
      <w:r>
        <w:rPr>
          <w:rFonts w:ascii="맑은 고딕" w:hAnsi="맑은 고딕" w:eastAsia="맑은 고딕"/>
          <w:b/>
          <w:i w:val="0"/>
          <w:sz w:val="22"/>
        </w:rPr>
        <w:t>"AI 활용 시 고지 문구 템플릿"</w:t>
      </w:r>
      <w:r>
        <w:rPr>
          <w:rFonts w:ascii="맑은 고딕" w:hAnsi="맑은 고딕" w:eastAsia="맑은 고딕"/>
          <w:b w:val="0"/>
          <w:i w:val="0"/>
          <w:sz w:val="22"/>
        </w:rPr>
        <w:t>을 포함할 것.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3.11 사고 대응 프로토콜 (72시간)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sz w:val="22"/>
        </w:rPr>
        <w:t>유출·해킹·오남용 사고 발생 시:</w:t>
      </w:r>
    </w:p>
    <w:p>
      <w:pPr>
        <w:spacing w:after="120"/>
        <w:ind w:left="227"/>
        <w:shd w:val="clear" w:color="auto" w:fill="F5F7FB"/>
      </w:pPr>
      <w:r>
        <w:rPr>
          <w:rFonts w:ascii="Consolas" w:hAnsi="Consolas" w:eastAsia="Consolas"/>
          <w:b w:val="0"/>
          <w:i w:val="0"/>
          <w:sz w:val="18"/>
        </w:rPr>
        <w:t>T+0h   : 사고 인지</w:t>
        <w:br/>
        <w:t>T+1h   : 내부 긴급 공지 (데미안 → 프로젝트팀)</w:t>
        <w:br/>
        <w:t>T+4h   : 피해 범위 1차 파악 (어떤 데이터, 몇 명, 어떤 경로)</w:t>
        <w:br/>
        <w:t>T+8h   : 고객사 담당자 공식 통보 (전화 + 이메일)</w:t>
        <w:br/>
        <w:t>T+24h  : 격리·차단 조치 완료, 증거 보전</w:t>
        <w:br/>
        <w:t>T+48h  : 상세 조사 보고서 초안</w:t>
        <w:br/>
        <w:t>T+72h  : 개인정보보호위원회 신고 (개인정보 유출 시 의무)</w:t>
        <w:br/>
        <w:t>T+7d   : 정식 사고 보고서 + 재발방지 대책</w:t>
        <w:br/>
        <w:t>T+30d  : 영향받은 당사자 개별 통지 (법령 요구 시)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반드시 할 것: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사고 발생 시 즉시 </w:t>
      </w:r>
      <w:r>
        <w:rPr>
          <w:rFonts w:ascii="맑은 고딕" w:hAnsi="맑은 고딕" w:eastAsia="맑은 고딕"/>
          <w:b/>
          <w:i w:val="0"/>
          <w:sz w:val="22"/>
        </w:rPr>
        <w:t>로그·메시지·파일 보존</w:t>
      </w:r>
      <w:r>
        <w:rPr>
          <w:rFonts w:ascii="맑은 고딕" w:hAnsi="맑은 고딕" w:eastAsia="맑은 고딕"/>
          <w:b w:val="0"/>
          <w:i w:val="0"/>
          <w:sz w:val="22"/>
        </w:rPr>
        <w:t>. 삭제는 증거인멸로 가중처벌.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신고 의무: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개인정보 1천명 이상 유출 시 개인정보보호위원회 + KISA 신고</w:t>
      </w:r>
    </w:p>
    <w:p>
      <w:pPr>
        <w:pBdr>
          <w:bottom w:val="single" w:sz="12" w:space="1" w:color="CADCFC"/>
        </w:pBdr>
      </w:pPr>
    </w:p>
    <w:p>
      <w:pPr>
        <w:spacing w:before="200" w:after="120"/>
      </w:pPr>
      <w:r>
        <w:rPr>
          <w:rFonts w:ascii="맑은 고딕" w:hAnsi="맑은 고딕" w:eastAsia="맑은 고딕"/>
          <w:b/>
          <w:i w:val="0"/>
          <w:color w:val="1E2761"/>
          <w:sz w:val="32"/>
        </w:rPr>
        <w:t>4. 시스템 가이드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4.1 고객사 협업 도구별 도입 패턴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ADCFC"/>
          <w:left w:val="single" w:sz="4" w:space="0" w:color="CADCFC"/>
          <w:bottom w:val="single" w:sz="4" w:space="0" w:color="CADCFC"/>
          <w:right w:val="single" w:sz="4" w:space="0" w:color="CADCFC"/>
          <w:insideH w:val="single" w:sz="4" w:space="0" w:color="CADCFC"/>
          <w:insideV w:val="single" w:sz="4" w:space="0" w:color="CADCFC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E276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고객사 표준</w:t>
            </w:r>
          </w:p>
        </w:tc>
        <w:tc>
          <w:tcPr>
            <w:tcW w:type="dxa" w:w="3249"/>
            <w:shd w:val="clear" w:color="auto" w:fill="1E276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데미안 대응</w:t>
            </w:r>
          </w:p>
        </w:tc>
        <w:tc>
          <w:tcPr>
            <w:tcW w:type="dxa" w:w="3249"/>
            <w:shd w:val="clear" w:color="auto" w:fill="1E276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주의사항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MS365 + Teams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Guest 계정 발급 요청, Teams 전용 채널, OneDrive 공유 폴더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Copilot 사용 여부 확인</w:t>
            </w:r>
          </w:p>
        </w:tc>
      </w:tr>
      <w:tr>
        <w:tc>
          <w:tcPr>
            <w:tcW w:type="dxa" w:w="3249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Google Workspace</w:t>
            </w:r>
          </w:p>
        </w:tc>
        <w:tc>
          <w:tcPr>
            <w:tcW w:type="dxa" w:w="3249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Guest 초대, Shared Drive, Meet 사용</w:t>
            </w:r>
          </w:p>
        </w:tc>
        <w:tc>
          <w:tcPr>
            <w:tcW w:type="dxa" w:w="3249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개인 Gmail 혼용 금지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Notion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워크스페이스 게스트로 초대, 페이지 권한 최소화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개인 Notion과 분리</w:t>
            </w:r>
          </w:p>
        </w:tc>
      </w:tr>
      <w:tr>
        <w:tc>
          <w:tcPr>
            <w:tcW w:type="dxa" w:w="3249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Slack</w:t>
            </w:r>
          </w:p>
        </w:tc>
        <w:tc>
          <w:tcPr>
            <w:tcW w:type="dxa" w:w="3249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Single-Channel Guest (무료) 또는 Multi-Channel Guest</w:t>
            </w:r>
          </w:p>
        </w:tc>
        <w:tc>
          <w:tcPr>
            <w:tcW w:type="dxa" w:w="3249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DM 남용 금지, 공식은 채널</w:t>
            </w:r>
          </w:p>
        </w:tc>
      </w:tr>
    </w:tbl>
    <w:p/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4.2 각 도구별 AI 기능 설정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ADCFC"/>
          <w:left w:val="single" w:sz="4" w:space="0" w:color="CADCFC"/>
          <w:bottom w:val="single" w:sz="4" w:space="0" w:color="CADCFC"/>
          <w:right w:val="single" w:sz="4" w:space="0" w:color="CADCFC"/>
          <w:insideH w:val="single" w:sz="4" w:space="0" w:color="CADCFC"/>
          <w:insideV w:val="single" w:sz="4" w:space="0" w:color="CADCFC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E276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도구</w:t>
            </w:r>
          </w:p>
        </w:tc>
        <w:tc>
          <w:tcPr>
            <w:tcW w:type="dxa" w:w="3249"/>
            <w:shd w:val="clear" w:color="auto" w:fill="1E276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AI 기능</w:t>
            </w:r>
          </w:p>
        </w:tc>
        <w:tc>
          <w:tcPr>
            <w:tcW w:type="dxa" w:w="3249"/>
            <w:shd w:val="clear" w:color="auto" w:fill="1E276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활성화 시 확인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M365 Copilot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Word/Excel/Teams 내 Copilot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고객사 테넌트 정책 확인, 테넌트 데이터 학습 차단</w:t>
            </w:r>
          </w:p>
        </w:tc>
      </w:tr>
      <w:tr>
        <w:tc>
          <w:tcPr>
            <w:tcW w:type="dxa" w:w="3249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Google Gemini for Workspace</w:t>
            </w:r>
          </w:p>
        </w:tc>
        <w:tc>
          <w:tcPr>
            <w:tcW w:type="dxa" w:w="3249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Docs/Sheets/Meet</w:t>
            </w:r>
          </w:p>
        </w:tc>
        <w:tc>
          <w:tcPr>
            <w:tcW w:type="dxa" w:w="3249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Workspace는 학습 차단 기본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Notion AI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Q&amp;A, 요약, 작성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고객사 동의 없인 개인정보 입력 금지</w:t>
            </w:r>
          </w:p>
        </w:tc>
      </w:tr>
      <w:tr>
        <w:tc>
          <w:tcPr>
            <w:tcW w:type="dxa" w:w="3249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Slack AI</w:t>
            </w:r>
          </w:p>
        </w:tc>
        <w:tc>
          <w:tcPr>
            <w:tcW w:type="dxa" w:w="3249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요약, 검색</w:t>
            </w:r>
          </w:p>
        </w:tc>
        <w:tc>
          <w:tcPr>
            <w:tcW w:type="dxa" w:w="3249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Enterprise Grid에서만 활성화 권장</w:t>
            </w:r>
          </w:p>
        </w:tc>
      </w:tr>
    </w:tbl>
    <w:p/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원칙: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고객사 도구의 AI 기능은 </w:t>
      </w:r>
      <w:r>
        <w:rPr>
          <w:rFonts w:ascii="맑은 고딕" w:hAnsi="맑은 고딕" w:eastAsia="맑은 고딕"/>
          <w:b/>
          <w:i w:val="0"/>
          <w:sz w:val="22"/>
        </w:rPr>
        <w:t>고객사 관리자의 명시적 허용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하에만 사용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4.3 API 키 관리 원칙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원칙 1: 고객사 프로젝트에 사용되는 API 키는 고객사 명의로 발급받아 사용한다.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원칙 2: 데미안 개인 계정의 API 키를 고객사 작업에 쓰지 않는다.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(과금·감사·위탁 위반)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원칙 3: API 키는 절대 코드에 하드코딩하지 않는다.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</w:t>
      </w:r>
      <w:r>
        <w:rPr>
          <w:rFonts w:ascii="Consolas" w:hAnsi="Consolas" w:eastAsia="Consolas"/>
          <w:b w:val="0"/>
          <w:i w:val="0"/>
          <w:sz w:val="20"/>
        </w:rPr>
        <w:t>.env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+ </w:t>
      </w:r>
      <w:r>
        <w:rPr>
          <w:rFonts w:ascii="Consolas" w:hAnsi="Consolas" w:eastAsia="Consolas"/>
          <w:b w:val="0"/>
          <w:i w:val="0"/>
          <w:sz w:val="20"/>
        </w:rPr>
        <w:t>.gitignore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필수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원칙 4: API 키 로테이션 주기 — 3개월마다 1회, 프로젝트 종료 시 즉시 폐기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원칙 5: 위탁 금지 — 고객사가 API 키를 데미안에게 "알아서 써주세요" 하고 넘기면 반드시 위임장·위탁계약서 작성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키 저장: 1Password / Bitwarden / 클라우드 Secret Manager 사용. 평문 메모 금지.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4.4 프로젝트 작업 환경 표준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4"/>
        </w:rPr>
        <w:t>4.4.1 폴더 구조</w:t>
      </w:r>
    </w:p>
    <w:p>
      <w:pPr>
        <w:spacing w:after="120"/>
        <w:ind w:left="227"/>
        <w:shd w:val="clear" w:color="auto" w:fill="F5F7FB"/>
      </w:pPr>
      <w:r>
        <w:rPr>
          <w:rFonts w:ascii="Consolas" w:hAnsi="Consolas" w:eastAsia="Consolas"/>
          <w:b w:val="0"/>
          <w:i w:val="0"/>
          <w:sz w:val="18"/>
        </w:rPr>
        <w:t>D:\00 Antigravity\ACTIVE\{프로젝트코드}_{고객사명}\</w:t>
        <w:br/>
        <w:t xml:space="preserve">  ├── 01_contract/       계약서, NDA, SOW, 청구서</w:t>
        <w:br/>
        <w:t xml:space="preserve">  ├── 02_input/          고객 제공 자료 (원본 불변)</w:t>
        <w:br/>
        <w:t xml:space="preserve">  ├── 03_work/           작업 중간 산출물</w:t>
        <w:br/>
        <w:t xml:space="preserve">  ├── 04_deliverables/   최종 납품물 (버전 관리)</w:t>
        <w:br/>
        <w:t xml:space="preserve">  ├── 05_logs/           AI 프롬프트 로그</w:t>
        <w:br/>
        <w:t xml:space="preserve">  ├── 06_meetings/       회의록</w:t>
        <w:br/>
        <w:t xml:space="preserve">  └── README.md          프로젝트 개요 + 연락처 + 링크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4"/>
        </w:rPr>
        <w:t>4.4.2 파일 네이밍 규칙</w:t>
      </w:r>
    </w:p>
    <w:p>
      <w:pPr>
        <w:spacing w:after="120"/>
        <w:ind w:left="227"/>
        <w:shd w:val="clear" w:color="auto" w:fill="F5F7FB"/>
      </w:pPr>
      <w:r>
        <w:rPr>
          <w:rFonts w:ascii="Consolas" w:hAnsi="Consolas" w:eastAsia="Consolas"/>
          <w:b w:val="0"/>
          <w:i w:val="0"/>
          <w:sz w:val="18"/>
        </w:rPr>
        <w:t>YYYYMMDD_{프로젝트코드}_{문서종류}_{버전}_{작성자이니셜}.{ext}</w:t>
        <w:br/>
        <w:t>예: 20260409_FAXW01_SOW_v1.2_DM.pdf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공백·한글 파일명 가능하나 버전·날짜 필수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 xml:space="preserve">최종본은 </w:t>
      </w:r>
      <w:r>
        <w:rPr>
          <w:rFonts w:ascii="Consolas" w:hAnsi="Consolas" w:eastAsia="Consolas"/>
          <w:b w:val="0"/>
          <w:i w:val="0"/>
          <w:sz w:val="20"/>
        </w:rPr>
        <w:t>_FINAL</w:t>
      </w:r>
      <w:r>
        <w:rPr>
          <w:rFonts w:ascii="맑은 고딕" w:hAnsi="맑은 고딕" w:eastAsia="맑은 고딕"/>
          <w:b w:val="0"/>
          <w:i w:val="0"/>
          <w:sz w:val="22"/>
        </w:rPr>
        <w:t xml:space="preserve">, 제출본은 </w:t>
      </w:r>
      <w:r>
        <w:rPr>
          <w:rFonts w:ascii="Consolas" w:hAnsi="Consolas" w:eastAsia="Consolas"/>
          <w:b w:val="0"/>
          <w:i w:val="0"/>
          <w:sz w:val="20"/>
        </w:rPr>
        <w:t>_SUBMIT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접미사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4"/>
        </w:rPr>
        <w:t>4.4.3 버전 관리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문서: v0.1 (초안) → v0.9 (검토) → v1.0 (납품) → v1.1 (수정)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 xml:space="preserve">코드: Git 필수. 고객사 프로젝트는 </w:t>
      </w:r>
      <w:r>
        <w:rPr>
          <w:rFonts w:ascii="맑은 고딕" w:hAnsi="맑은 고딕" w:eastAsia="맑은 고딕"/>
          <w:b/>
          <w:i w:val="0"/>
          <w:sz w:val="22"/>
        </w:rPr>
        <w:t>Private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리포지토리.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중간 백업: Git + 클라우드 이중화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4.5 산출물 전달 표준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ADCFC"/>
          <w:left w:val="single" w:sz="4" w:space="0" w:color="CADCFC"/>
          <w:bottom w:val="single" w:sz="4" w:space="0" w:color="CADCFC"/>
          <w:right w:val="single" w:sz="4" w:space="0" w:color="CADCFC"/>
          <w:insideH w:val="single" w:sz="4" w:space="0" w:color="CADCFC"/>
          <w:insideV w:val="single" w:sz="4" w:space="0" w:color="CADCFC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1E276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산출물 유형</w:t>
            </w:r>
          </w:p>
        </w:tc>
        <w:tc>
          <w:tcPr>
            <w:tcW w:type="dxa" w:w="2436"/>
            <w:shd w:val="clear" w:color="auto" w:fill="1E276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포맷</w:t>
            </w:r>
          </w:p>
        </w:tc>
        <w:tc>
          <w:tcPr>
            <w:tcW w:type="dxa" w:w="2436"/>
            <w:shd w:val="clear" w:color="auto" w:fill="1E276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전달 채널</w:t>
            </w:r>
          </w:p>
        </w:tc>
        <w:tc>
          <w:tcPr>
            <w:tcW w:type="dxa" w:w="2436"/>
            <w:shd w:val="clear" w:color="auto" w:fill="1E276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보호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보고서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PDF (편집본은 Word/Notion)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고객사 공식 이메일 or 공유드라이브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PDF 암호 or 링크 만료</w:t>
            </w:r>
          </w:p>
        </w:tc>
      </w:tr>
      <w:tr>
        <w:tc>
          <w:tcPr>
            <w:tcW w:type="dxa" w:w="2436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데이터/Excel</w:t>
            </w:r>
          </w:p>
        </w:tc>
        <w:tc>
          <w:tcPr>
            <w:tcW w:type="dxa" w:w="2436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xlsx</w:t>
            </w:r>
          </w:p>
        </w:tc>
        <w:tc>
          <w:tcPr>
            <w:tcW w:type="dxa" w:w="2436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공유드라이브</w:t>
            </w:r>
          </w:p>
        </w:tc>
        <w:tc>
          <w:tcPr>
            <w:tcW w:type="dxa" w:w="2436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시트 암호 권장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코드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Git zip 또는 Private Repo 초대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Git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Repo 권한 관리</w:t>
            </w:r>
          </w:p>
        </w:tc>
      </w:tr>
      <w:tr>
        <w:tc>
          <w:tcPr>
            <w:tcW w:type="dxa" w:w="2436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워크숍 자료</w:t>
            </w:r>
          </w:p>
        </w:tc>
        <w:tc>
          <w:tcPr>
            <w:tcW w:type="dxa" w:w="2436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PPTX + PDF</w:t>
            </w:r>
          </w:p>
        </w:tc>
        <w:tc>
          <w:tcPr>
            <w:tcW w:type="dxa" w:w="2436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공유드라이브</w:t>
            </w:r>
          </w:p>
        </w:tc>
        <w:tc>
          <w:tcPr>
            <w:tcW w:type="dxa" w:w="2436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PDF 버전 배포</w:t>
            </w:r>
          </w:p>
        </w:tc>
      </w:tr>
    </w:tbl>
    <w:p/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절대 하지 말 것: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카톡·개인 메신저·개인 Gmail로 산출물 전달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반드시 할 것: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암호는 </w:t>
      </w:r>
      <w:r>
        <w:rPr>
          <w:rFonts w:ascii="맑은 고딕" w:hAnsi="맑은 고딕" w:eastAsia="맑은 고딕"/>
          <w:b/>
          <w:i w:val="0"/>
          <w:sz w:val="22"/>
        </w:rPr>
        <w:t>별도 채널</w:t>
      </w:r>
      <w:r>
        <w:rPr>
          <w:rFonts w:ascii="맑은 고딕" w:hAnsi="맑은 고딕" w:eastAsia="맑은 고딕"/>
          <w:b w:val="0"/>
          <w:i w:val="0"/>
          <w:sz w:val="22"/>
        </w:rPr>
        <w:t>(문자/전화)로 전달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4.6 데미안 로컬 환경 체크리스트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[ ] Windows BitLocker 활성화 (디스크 암호화)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[ ] 로그인 암호 + Windows Hello(지문/PIN)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[ ] 모든 주요 계정 2FA 활성화 (Google / Microsoft / GitHub / Notion / Slack / 은행 / 세금)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[ ] 패스워드 매니저 사용 (1Password / Bitwarden)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[ ] 자동 백업: 외장 HDD(주 1회) + 클라우드(실시간)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[ ] OS·브라우저·주요 앱 자동 업데이트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[ ] 안티바이러스 / Windows Defender 활성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[ ] 화면 자동 잠금 (5분)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[ ] 공용 WiFi 사용 시 VPN 필수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[ ] 노트북 도난 대비 원격 삭제 설정 (Find My Device)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[ ] 고객사 데이터는 별도 암호화 컨테이너(VeraCrypt)에 저장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4.7 원격 협업 도구 보안 설정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Zoom/Teams/Meet: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대기실 활성화, 비밀번호 필수, 녹화는 양측 동의 후, 녹화파일은 L2 취급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Slack/Discord: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2FA 필수, DM 남용 금지, 외부 공유 링크 만료일 설정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공유드라이브: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링크 공유 대신 "특정 사용자 지정" 권한, 만료일 설정, 다운로드 권한 최소화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이메일: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S/MIME 또는 PGP(고객사 요청 시), 외부 발송 시 제목에 </w:t>
      </w:r>
      <w:r>
        <w:rPr>
          <w:rFonts w:ascii="Consolas" w:hAnsi="Consolas" w:eastAsia="Consolas"/>
          <w:b w:val="0"/>
          <w:i w:val="0"/>
          <w:sz w:val="20"/>
        </w:rPr>
        <w:t>[프로젝트코드]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태그</w:t>
      </w:r>
    </w:p>
    <w:p>
      <w:pPr>
        <w:pBdr>
          <w:bottom w:val="single" w:sz="12" w:space="1" w:color="CADCFC"/>
        </w:pBdr>
      </w:pPr>
    </w:p>
    <w:p>
      <w:pPr>
        <w:spacing w:before="200" w:after="120"/>
      </w:pPr>
      <w:r>
        <w:rPr>
          <w:rFonts w:ascii="맑은 고딕" w:hAnsi="맑은 고딕" w:eastAsia="맑은 고딕"/>
          <w:b/>
          <w:i w:val="0"/>
          <w:color w:val="1E2761"/>
          <w:sz w:val="32"/>
        </w:rPr>
        <w:t>부록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A. 수주 단계별 빠른 체크리스트</w:t>
      </w:r>
    </w:p>
    <w:p>
      <w:pPr>
        <w:spacing w:after="80"/>
      </w:pPr>
      <w:r>
        <w:rPr>
          <w:rFonts w:ascii="맑은 고딕" w:hAnsi="맑은 고딕" w:eastAsia="맑은 고딕"/>
          <w:b/>
          <w:i w:val="0"/>
          <w:sz w:val="22"/>
        </w:rPr>
        <w:t>리드 → Kickoff 30분 체크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[ ] 리드 24h 내 회신 완료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[ ] 1차 미팅 어젠다 선송부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[ ] 제안서 유효기간 30일 명시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[ ] NDA 상호형, 유효기간 2~3년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[ ] SOW 10항목, 완료기준 6요소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[ ] 본계약 책임한계·보증제외 조항 포함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[ ] Kickoff 3영업일 전 NDA·본계약 서명본 완료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[ ] 착수금 30% 입금 확인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B. 견적 작성 빠른 공식</w:t>
      </w:r>
    </w:p>
    <w:p>
      <w:pPr>
        <w:spacing w:after="120"/>
        <w:ind w:left="227"/>
        <w:shd w:val="clear" w:color="auto" w:fill="F5F7FB"/>
      </w:pPr>
      <w:r>
        <w:rPr>
          <w:rFonts w:ascii="Consolas" w:hAnsi="Consolas" w:eastAsia="Consolas"/>
          <w:b w:val="0"/>
          <w:i w:val="0"/>
          <w:sz w:val="18"/>
        </w:rPr>
        <w:t>(시니어 MD × 100만) + (주니어 MD × 60만)</w:t>
        <w:br/>
        <w:t xml:space="preserve">  × 1.15 (버퍼)</w:t>
        <w:br/>
        <w:t xml:space="preserve">  × 1.10 (VAT)</w:t>
        <w:br/>
        <w:t>= 총 청구액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C. 보안 긴급 연락망 (사고 발생 시)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개인정보보호위원회: 국번없이 182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KISA 인터넷침해대응센터: 국번없이 118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경찰청 사이버수사국: 국번없이 182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법률 자문: _____________ (사전 계약 필요)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사이버 보험: _____________ (가입 권장)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D. 절대 하지 말 것 TOP 10 (냉장고 문에 붙여라)</w:t>
      </w:r>
    </w:p>
    <w:p>
      <w:pPr>
        <w:pStyle w:val="ListNumber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NDA 전 고객 문서 수령</w:t>
      </w:r>
    </w:p>
    <w:p>
      <w:pPr>
        <w:pStyle w:val="ListNumber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모호한 산출물 정의로 SOW 체결</w:t>
      </w:r>
    </w:p>
    <w:p>
      <w:pPr>
        <w:pStyle w:val="ListNumber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책임 한계 조항 없는 본계약</w:t>
      </w:r>
    </w:p>
    <w:p>
      <w:pPr>
        <w:pStyle w:val="ListNumber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VAT 별도 표기 누락</w:t>
      </w:r>
    </w:p>
    <w:p>
      <w:pPr>
        <w:pStyle w:val="ListNumber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ChatGPT Free/Plus에 고객 데이터 입력</w:t>
      </w:r>
    </w:p>
    <w:p>
      <w:pPr>
        <w:pStyle w:val="ListNumber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개인 API 키로 고객 프로젝트 수행</w:t>
      </w:r>
    </w:p>
    <w:p>
      <w:pPr>
        <w:pStyle w:val="ListNumber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카톡으로 산출물 전달</w:t>
      </w:r>
    </w:p>
    <w:p>
      <w:pPr>
        <w:pStyle w:val="ListNumber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암호화 없는 노트북으로 고객사 방문</w:t>
      </w:r>
    </w:p>
    <w:p>
      <w:pPr>
        <w:pStyle w:val="ListNumber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구두로 범위 외 요청 수락</w:t>
      </w:r>
    </w:p>
    <w:p>
      <w:pPr>
        <w:pStyle w:val="ListNumber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사고 발생 후 72시간 방치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E. 반드시 할 것 TOP 10</w:t>
      </w:r>
    </w:p>
    <w:p>
      <w:pPr>
        <w:pStyle w:val="ListNumber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NDA 서명본 Kickoff 3영업일 전 수령</w:t>
      </w:r>
    </w:p>
    <w:p>
      <w:pPr>
        <w:pStyle w:val="ListNumber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SOW 산출물 6요소 (포맷/분량/내용/언어/납품물/완료판정) 명시</w:t>
      </w:r>
    </w:p>
    <w:p>
      <w:pPr>
        <w:pStyle w:val="ListNumber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본계약 책임 상한 = 계약금액 조항 포함</w:t>
      </w:r>
    </w:p>
    <w:p>
      <w:pPr>
        <w:pStyle w:val="ListNumber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모든 견적에 "VAT 10% 별도" 명시</w:t>
      </w:r>
    </w:p>
    <w:p>
      <w:pPr>
        <w:pStyle w:val="ListNumber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착수금 30% 입금 후 본격 착수</w:t>
      </w:r>
    </w:p>
    <w:p>
      <w:pPr>
        <w:pStyle w:val="ListNumber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L2 이상 데이터는 Team/Enterprise/API에서만</w:t>
      </w:r>
    </w:p>
    <w:p>
      <w:pPr>
        <w:pStyle w:val="ListNumber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고객사별 전용 폴더 + 디스크 암호화</w:t>
      </w:r>
    </w:p>
    <w:p>
      <w:pPr>
        <w:pStyle w:val="ListNumber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모든 변경은 CR 서면 승인 후 반영</w:t>
      </w:r>
    </w:p>
    <w:p>
      <w:pPr>
        <w:pStyle w:val="ListNumber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월 1회 장부·청구 정리</w:t>
      </w:r>
    </w:p>
    <w:p>
      <w:pPr>
        <w:pStyle w:val="ListNumber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프로젝트 종료 30일 내 데이터 파기 증빙서 발행</w:t>
      </w:r>
    </w:p>
    <w:p>
      <w:pPr>
        <w:pBdr>
          <w:bottom w:val="single" w:sz="12" w:space="1" w:color="CADCFC"/>
        </w:pBdr>
      </w:pPr>
    </w:p>
    <w:p>
      <w:pPr>
        <w:spacing w:after="80"/>
      </w:pPr>
      <w:r>
        <w:rPr>
          <w:rFonts w:ascii="맑은 고딕" w:hAnsi="맑은 고딕" w:eastAsia="맑은 고딕"/>
          <w:b/>
          <w:i w:val="0"/>
          <w:sz w:val="22"/>
        </w:rPr>
        <w:t>문서 관리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작성: 2026-04-09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검토 주기: 분기 1회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다음 검토 예정: 2026-07-09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법령·세율 변경 시 즉시 갱신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