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ИДЗ 19.2 Вариант 15 Рязанов Д.В ИСУ 367522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Дана таблица распределения 100 автомашин по затратам на перевозки Х (ден. ед.) и по протяженности маршрутов перевозок Y (км). Известно, что между X и Y существует линейная корреляционная зависимость. Требуется: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a) Найти уравнение прямой регрессии y и x;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b) Построить уравнение эмпирической линии регрессии и случайные точки выборки (X, Y) 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6"/>
        <w:gridCol w:w="933"/>
        <w:gridCol w:w="932"/>
        <w:gridCol w:w="936"/>
        <w:gridCol w:w="932"/>
        <w:gridCol w:w="937"/>
        <w:gridCol w:w="933"/>
        <w:gridCol w:w="936"/>
        <w:gridCol w:w="934"/>
        <w:gridCol w:w="935"/>
      </w:tblGrid>
      <w:tr>
        <w:trPr>
          <w:trHeight w:val="529" w:hRule="atLeast"/>
        </w:trPr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lang w:val="en-US"/>
              </w:rPr>
            </w:pPr>
            <w:r>
              <w:rPr>
                <w:kern w:val="2"/>
                <w:sz w:val="22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</m:oMath>
            </m:oMathPara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lang w:val="en-US"/>
              </w:rPr>
            </w:pPr>
            <w:r>
              <w:rPr>
                <w:kern w:val="2"/>
                <w:sz w:val="22"/>
                <w:szCs w:val="22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>
                <w:rFonts w:eastAsia="" w:cs="Times New Roman" w:ascii="Times New Roman" w:hAnsi="Times New Roman" w:eastAsiaTheme="minorEastAsia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9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2700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420</w:t>
            </w: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93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70</w:t>
            </w: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820</w:t>
            </w: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9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ru-RU" w:eastAsia="en-US" w:bidi="ar-SA"/>
              </w:rPr>
              <w:t>9700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11200</w:t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1270</w:t>
            </w: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kern w:val="2"/>
                <w:sz w:val="22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oMath>
            </m:oMathPara>
          </w:p>
        </w:tc>
      </w:tr>
      <w:tr>
        <w:trPr/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520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2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1020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29</w:t>
            </w:r>
          </w:p>
        </w:tc>
      </w:tr>
      <w:tr>
        <w:trPr/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1520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21</w:t>
            </w:r>
          </w:p>
        </w:tc>
      </w:tr>
      <w:tr>
        <w:trPr/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16</w:t>
            </w:r>
          </w:p>
        </w:tc>
      </w:tr>
      <w:tr>
        <w:trPr/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2520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T276o00" w:ascii="TT276o00" w:hAnsi="TT276o00"/>
                <w:kern w:val="0"/>
                <w:sz w:val="16"/>
                <w:szCs w:val="16"/>
                <w:lang w:val="ru-RU" w:eastAsia="en-US" w:bidi="ar-SA"/>
              </w:rPr>
              <w:t>–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</w:tr>
      <w:tr>
        <w:trPr>
          <w:trHeight w:val="390" w:hRule="atLeast"/>
        </w:trPr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kern w:val="2"/>
                <w:sz w:val="22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oMath>
            </m:oMathPara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100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Решение: 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</w:rPr>
      </w:pPr>
      <w:r>
        <w:rPr>
          <w:rFonts w:cs="Times New Roman" w:ascii="Times New Roman" w:hAnsi="Times New Roman"/>
        </w:rPr>
        <w:t xml:space="preserve">Для подсчета числовых характеристик (выборочных средних 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eastAsia="" w:cs="Times New Roman" w:ascii="Times New Roman" w:hAnsi="Times New Roman" w:eastAsiaTheme="minorEastAsia"/>
        </w:rPr>
        <w:t xml:space="preserve"> </w:t>
      </w:r>
      <w:r>
        <w:rPr>
          <w:rFonts w:cs="Times New Roman" w:ascii="Times New Roman" w:hAnsi="Times New Roman"/>
        </w:rPr>
        <w:t xml:space="preserve">и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</m:oMath>
      <w:r>
        <w:rPr>
          <w:rFonts w:cs="Times New Roman" w:ascii="Times New Roman" w:hAnsi="Times New Roman"/>
        </w:rPr>
        <w:t xml:space="preserve">, выборочных средних квадратичных отклонений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cs="Times New Roman" w:ascii="Times New Roman" w:hAnsi="Times New Roman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rFonts w:cs="Times New Roman" w:ascii="Times New Roman" w:hAnsi="Times New Roman"/>
        </w:rPr>
        <w:t xml:space="preserve"> и выборочного корреляционного момента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xy</m:t>
            </m:r>
          </m:sub>
        </m:sSub>
      </m:oMath>
      <w:r>
        <w:rPr>
          <w:rFonts w:cs="Times New Roman" w:ascii="Times New Roman" w:hAnsi="Times New Roman"/>
        </w:rPr>
        <w:t xml:space="preserve">) составляем расчетную таблицу. </w:t>
      </w:r>
    </w:p>
    <w:p>
      <w:pPr>
        <w:pStyle w:val="Normal"/>
        <w:rPr>
          <w:rFonts w:eastAsia="" w:eastAsiaTheme="minorEastAsia"/>
        </w:rPr>
      </w:pPr>
      <w:r>
        <w:rPr>
          <w:rFonts w:cs="Times New Roman" w:ascii="Times New Roman" w:hAnsi="Times New Roman"/>
        </w:rPr>
        <w:t xml:space="preserve">Вычисляем выборочные средние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eastAsia="" w:eastAsiaTheme="minorEastAsia"/>
        </w:rPr>
        <w:t xml:space="preserve"> </w:t>
      </w:r>
      <w:r>
        <w:rPr/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:</m:t>
        </m:r>
      </m:oMath>
    </w:p>
    <w:p>
      <w:pPr>
        <w:pStyle w:val="Normal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∑</m:t>
              </m:r>
              <m:r>
                <w:rPr>
                  <w:rFonts w:ascii="Cambria Math" w:hAnsi="Cambria Math"/>
                </w:rPr>
                <m:t xml:space="preserve">∑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ij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∑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1240</m:t>
          </m:r>
        </m:oMath>
      </m:oMathPara>
    </w:p>
    <w:p>
      <w:pPr>
        <w:pStyle w:val="Normal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y</m:t>
              </m:r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∑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7765</m:t>
          </m:r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Выборочные дисперсии находим по формулам: </w:t>
      </w:r>
    </w:p>
    <w:p>
      <w:pPr>
        <w:pStyle w:val="Normal"/>
        <w:rPr>
          <w:rFonts w:eastAsia="" w:eastAsiaTheme="minorEastAsia"/>
        </w:rPr>
      </w:pPr>
      <w:bookmarkStart w:id="0" w:name="_Hlk153145539"/>
      <w:bookmarkEnd w:id="0"/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∑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sub>
              </m:sSub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∑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511600</m:t>
          </m:r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∑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sub>
              </m:sSub>
              <m:sSub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∑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6838275</m:t>
          </m:r>
        </m:oMath>
      </m:oMathPara>
    </w:p>
    <w:p>
      <w:pPr>
        <w:pStyle w:val="Normal"/>
        <w:jc w:val="left"/>
        <w:rPr/>
      </w:pPr>
      <w:r>
        <w:rPr/>
        <w:t>СКО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715,26</m:t>
          </m:r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2615,01</m:t>
          </m:r>
        </m:oMath>
      </m:oMathPara>
    </w:p>
    <w:p>
      <w:pPr>
        <w:pStyle w:val="Normal"/>
        <w:jc w:val="left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/>
      </w:r>
    </w:p>
    <w:tbl>
      <w:tblPr>
        <w:tblW w:w="9360" w:type="dxa"/>
        <w:jc w:val="left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30"/>
        <w:gridCol w:w="840"/>
        <w:gridCol w:w="975"/>
        <w:gridCol w:w="933"/>
        <w:gridCol w:w="880"/>
        <w:gridCol w:w="1127"/>
        <w:gridCol w:w="1245"/>
        <w:gridCol w:w="1365"/>
        <w:gridCol w:w="1365"/>
      </w:tblGrid>
      <w:tr>
        <w:trPr>
          <w:trHeight w:val="375" w:hRule="atLeast"/>
        </w:trPr>
        <w:tc>
          <w:tcPr>
            <w:tcW w:w="630" w:type="dxa"/>
            <w:tcBorders/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X</w:t>
            </w:r>
          </w:p>
        </w:tc>
        <w:tc>
          <w:tcPr>
            <w:tcW w:w="8730" w:type="dxa"/>
            <w:gridSpan w:val="8"/>
            <w:tcBorders/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/>
            </w:pPr>
            <w:r>
              <w:rPr>
                <w:b/>
              </w:rPr>
              <w:t>Y</w:t>
            </w:r>
          </w:p>
        </w:tc>
      </w:tr>
      <w:tr>
        <w:trPr>
          <w:trHeight w:val="360" w:hRule="atLeast"/>
        </w:trPr>
        <w:tc>
          <w:tcPr>
            <w:tcW w:w="630" w:type="dxa"/>
            <w:tcBorders/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1200</w:t>
            </w:r>
          </w:p>
        </w:tc>
        <w:tc>
          <w:tcPr>
            <w:tcW w:w="97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2700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4200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6700</w:t>
            </w:r>
          </w:p>
        </w:tc>
        <w:tc>
          <w:tcPr>
            <w:tcW w:w="11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8200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9700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11200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12700</w:t>
            </w:r>
          </w:p>
        </w:tc>
      </w:tr>
      <w:tr>
        <w:trPr>
          <w:trHeight w:val="360" w:hRule="atLeast"/>
        </w:trPr>
        <w:tc>
          <w:tcPr>
            <w:tcW w:w="6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96000</w:t>
            </w:r>
          </w:p>
        </w:tc>
        <w:tc>
          <w:tcPr>
            <w:tcW w:w="97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108000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420000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11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</w:tr>
      <w:tr>
        <w:trPr>
          <w:trHeight w:val="360" w:hRule="atLeast"/>
        </w:trPr>
        <w:tc>
          <w:tcPr>
            <w:tcW w:w="6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520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97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15288000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17420000</w:t>
            </w:r>
          </w:p>
        </w:tc>
        <w:tc>
          <w:tcPr>
            <w:tcW w:w="11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8528000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</w:tr>
      <w:tr>
        <w:trPr>
          <w:trHeight w:val="360" w:hRule="atLeast"/>
        </w:trPr>
        <w:tc>
          <w:tcPr>
            <w:tcW w:w="6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1020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97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61506000</w:t>
            </w:r>
          </w:p>
        </w:tc>
        <w:tc>
          <w:tcPr>
            <w:tcW w:w="11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117096000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59364000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</w:tr>
      <w:tr>
        <w:trPr>
          <w:trHeight w:val="360" w:hRule="atLeast"/>
        </w:trPr>
        <w:tc>
          <w:tcPr>
            <w:tcW w:w="6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1520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97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71288000</w:t>
            </w:r>
          </w:p>
        </w:tc>
        <w:tc>
          <w:tcPr>
            <w:tcW w:w="11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99712000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88464000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</w:tr>
      <w:tr>
        <w:trPr>
          <w:trHeight w:val="360" w:hRule="atLeast"/>
        </w:trPr>
        <w:tc>
          <w:tcPr>
            <w:tcW w:w="6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2020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97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11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66256000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97970000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158368000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</w:tr>
      <w:tr>
        <w:trPr>
          <w:trHeight w:val="375" w:hRule="atLeast"/>
        </w:trPr>
        <w:tc>
          <w:tcPr>
            <w:tcW w:w="63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2520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97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112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73332000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56448000</w:t>
            </w:r>
          </w:p>
        </w:tc>
        <w:tc>
          <w:tcPr>
            <w:tcW w:w="136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128016000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left"/>
        <w:rPr/>
      </w:pPr>
      <w:r>
        <w:rPr>
          <w:rFonts w:cs="Times New Roman" w:ascii="Times New Roman" w:hAnsi="Times New Roman"/>
        </w:rPr>
        <w:t>Ко</w:t>
      </w:r>
      <w:r>
        <w:rPr>
          <w:rFonts w:cs="Times New Roman" w:ascii="Times New Roman" w:hAnsi="Times New Roman"/>
        </w:rPr>
        <w:t>рреляционный момент вычисляем по формуле: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xy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∑</m:t>
              </m:r>
              <m:r>
                <w:rPr>
                  <w:rFonts w:ascii="Cambria Math" w:hAnsi="Cambria Math"/>
                </w:rPr>
                <m:t xml:space="preserve">∑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ij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∑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∑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11196800</m:t>
          </m:r>
        </m:oMath>
      </m:oMathPara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Оценкой теоретической линии регрессии является эмпирическая линия регрессии, уравнение которой имеет вид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y</m:t>
              </m:r>
            </m:e>
          </m:ba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xy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bar>
            </m:e>
          </m:d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Normal"/>
        <w:jc w:val="center"/>
        <w:rPr>
          <w:rFonts w:ascii="Times New Roman" w:hAnsi="Times New Roman" w:eastAsia="" w:cs="Times New Roman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xy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xy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0,84</m:t>
          </m:r>
        </m:oMath>
      </m:oMathPara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Составляем уравнение эмпирической линии регрессии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у</m:t>
        </m:r>
      </m:oMath>
      <w:r>
        <w:rPr>
          <w:rFonts w:cs="Times New Roman" w:ascii="Times New Roman" w:hAnsi="Times New Roman"/>
        </w:rPr>
        <w:t xml:space="preserve">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cs="Times New Roman" w:ascii="Times New Roman" w:hAnsi="Times New Roman"/>
        </w:rPr>
        <w:t>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</w:rPr>
      </w:pPr>
      <w:bookmarkStart w:id="1" w:name="_Hlk153145515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3,07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1240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7765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3,07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3964,05</m:t>
          </m:r>
        </m:oMath>
      </m:oMathPara>
      <w:bookmarkEnd w:id="1"/>
    </w:p>
    <w:p>
      <w:pPr>
        <w:pStyle w:val="Normal"/>
        <w:jc w:val="center"/>
        <w:rPr>
          <w:rFonts w:ascii="Times New Roman" w:hAnsi="Times New Roman" w:eastAsia="" w:cs="Times New Roman" w:eastAsiaTheme="minorEastAsia"/>
        </w:rPr>
      </w:pPr>
      <w:r>
        <w:rPr/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-1080135</wp:posOffset>
            </wp:positionH>
            <wp:positionV relativeFrom="paragraph">
              <wp:posOffset>-57150</wp:posOffset>
            </wp:positionV>
            <wp:extent cx="7560310" cy="3702685"/>
            <wp:effectExtent l="0" t="0" r="0" b="0"/>
            <wp:wrapSquare wrapText="largest"/>
            <wp:docPr id="1" name="Объект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  <w:bookmarkStart w:id="2" w:name="_GoBack"/>
      <w:bookmarkStart w:id="3" w:name="_GoBack"/>
      <w:bookmarkEnd w:id="3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T276o00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105df"/>
    <w:rPr>
      <w:color w:val="66666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c356f9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ru-RU" w:eastAsia="en-US" w:bidi="ar-SA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105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10674506231626"/>
          <c:y val="0.0346635103145079"/>
          <c:w val="0.636412570908037"/>
          <c:h val="0.818227933716605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Y  = 3,07 *  X  + 3964,05</c:v>
                </c:pt>
              </c:strCache>
            </c:strRef>
          </c:tx>
          <c:spPr>
            <a:solidFill>
              <a:srgbClr val="000080"/>
            </a:solidFill>
            <a:ln w="12600">
              <a:solidFill>
                <a:srgbClr val="000080"/>
              </a:solidFill>
              <a:round/>
            </a:ln>
          </c:spPr>
          <c:marker>
            <c:symbol val="diamond"/>
            <c:size val="5"/>
            <c:spPr>
              <a:solidFill>
                <a:srgbClr val="00008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20"/>
                <c:pt idx="0">
                  <c:v>20</c:v>
                </c:pt>
                <c:pt idx="1">
                  <c:v>2520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20"/>
                <c:pt idx="0">
                  <c:v>4025.35183737295</c:v>
                </c:pt>
                <c:pt idx="1">
                  <c:v>11688.5652853792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>Корреляционное поле</c:v>
                </c:pt>
              </c:strCache>
            </c:strRef>
          </c:tx>
          <c:spPr>
            <a:solidFill>
              <a:srgbClr val="000000"/>
            </a:solidFill>
            <a:ln w="0">
              <a:noFill/>
            </a:ln>
          </c:spPr>
          <c:marker>
            <c:symbol val="circle"/>
            <c:size val="6"/>
            <c:spPr>
              <a:solidFill>
                <a:srgbClr val="00000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2</c:f>
              <c:numCache>
                <c:formatCode>General</c:formatCode>
                <c:ptCount val="20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520</c:v>
                </c:pt>
                <c:pt idx="4">
                  <c:v>520</c:v>
                </c:pt>
                <c:pt idx="5">
                  <c:v>520</c:v>
                </c:pt>
                <c:pt idx="6">
                  <c:v>1020</c:v>
                </c:pt>
                <c:pt idx="7">
                  <c:v>1020</c:v>
                </c:pt>
                <c:pt idx="8">
                  <c:v>1020</c:v>
                </c:pt>
                <c:pt idx="9">
                  <c:v>1520</c:v>
                </c:pt>
                <c:pt idx="10">
                  <c:v>1520</c:v>
                </c:pt>
                <c:pt idx="11">
                  <c:v>1520</c:v>
                </c:pt>
                <c:pt idx="12">
                  <c:v>2020</c:v>
                </c:pt>
                <c:pt idx="13">
                  <c:v>2020</c:v>
                </c:pt>
                <c:pt idx="14">
                  <c:v>2020</c:v>
                </c:pt>
                <c:pt idx="15">
                  <c:v>2520</c:v>
                </c:pt>
                <c:pt idx="16">
                  <c:v>2520</c:v>
                </c:pt>
                <c:pt idx="17">
                  <c:v>2520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20"/>
                <c:pt idx="0">
                  <c:v>1200</c:v>
                </c:pt>
                <c:pt idx="1">
                  <c:v>2700</c:v>
                </c:pt>
                <c:pt idx="2">
                  <c:v>4200</c:v>
                </c:pt>
                <c:pt idx="3">
                  <c:v>4200</c:v>
                </c:pt>
                <c:pt idx="4">
                  <c:v>6700</c:v>
                </c:pt>
                <c:pt idx="5">
                  <c:v>8200</c:v>
                </c:pt>
                <c:pt idx="6">
                  <c:v>6700</c:v>
                </c:pt>
                <c:pt idx="7">
                  <c:v>8200</c:v>
                </c:pt>
                <c:pt idx="8">
                  <c:v>9700</c:v>
                </c:pt>
                <c:pt idx="9">
                  <c:v>6700</c:v>
                </c:pt>
                <c:pt idx="10">
                  <c:v>8200</c:v>
                </c:pt>
                <c:pt idx="11">
                  <c:v>9700</c:v>
                </c:pt>
                <c:pt idx="12">
                  <c:v>8200</c:v>
                </c:pt>
                <c:pt idx="13">
                  <c:v>9700</c:v>
                </c:pt>
                <c:pt idx="14">
                  <c:v>11200</c:v>
                </c:pt>
                <c:pt idx="15">
                  <c:v>9700</c:v>
                </c:pt>
                <c:pt idx="16">
                  <c:v>11200</c:v>
                </c:pt>
                <c:pt idx="17">
                  <c:v>12700</c:v>
                </c:pt>
              </c:numCache>
            </c:numRef>
          </c:yVal>
          <c:smooth val="0"/>
        </c:ser>
        <c:axId val="32692568"/>
        <c:axId val="2497368"/>
      </c:scatterChart>
      <c:valAx>
        <c:axId val="32692568"/>
        <c:scaling>
          <c:orientation val="minMax"/>
          <c:max val="2600"/>
          <c:min val="0"/>
        </c:scaling>
        <c:delete val="0"/>
        <c:axPos val="b"/>
        <c:majorGridlines>
          <c:spPr>
            <a:ln w="0">
              <a:solidFill>
                <a:srgbClr val="f7f7f7"/>
              </a:solidFill>
              <a:custDash>
                <a:ds d="385900" sp="385900"/>
              </a:custDash>
            </a:ln>
          </c:spPr>
        </c:majorGridlines>
        <c:title>
          <c:tx>
            <c:rich>
              <a:bodyPr rot="0"/>
              <a:lstStyle/>
              <a:p>
                <a:pPr>
                  <a:defRPr b="1" sz="900" spc="-1" strike="noStrike">
                    <a:solidFill>
                      <a:srgbClr val="f7f7f7"/>
                    </a:solidFill>
                    <a:latin typeface="Arial Cyr"/>
                  </a:defRPr>
                </a:pPr>
                <a:r>
                  <a:rPr b="1" sz="900" spc="-1" strike="noStrike">
                    <a:solidFill>
                      <a:srgbClr val="f7f7f7"/>
                    </a:solidFill>
                    <a:latin typeface="Arial Cyr"/>
                  </a:rPr>
                  <a:t>X</a:t>
                </a:r>
              </a:p>
            </c:rich>
          </c:tx>
          <c:layout>
            <c:manualLayout>
              <c:xMode val="edge"/>
              <c:yMode val="edge"/>
              <c:x val="0.71487723075649"/>
              <c:y val="0.878339533310788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f7f7f7"/>
            </a:solidFill>
          </a:ln>
        </c:spPr>
        <c:txPr>
          <a:bodyPr/>
          <a:lstStyle/>
          <a:p>
            <a:pPr>
              <a:defRPr b="1" sz="600" spc="-1" strike="noStrike">
                <a:solidFill>
                  <a:srgbClr val="f7f7f7"/>
                </a:solidFill>
                <a:latin typeface="Arial Cyr"/>
              </a:defRPr>
            </a:pPr>
          </a:p>
        </c:txPr>
        <c:crossAx val="2497368"/>
        <c:crosses val="autoZero"/>
        <c:crossBetween val="midCat"/>
        <c:majorUnit val="100"/>
        <c:minorUnit val="5.26315789473684"/>
      </c:valAx>
      <c:valAx>
        <c:axId val="2497368"/>
        <c:scaling>
          <c:orientation val="minMax"/>
          <c:max val="13000"/>
          <c:min val="0"/>
        </c:scaling>
        <c:delete val="0"/>
        <c:axPos val="l"/>
        <c:majorGridlines>
          <c:spPr>
            <a:ln w="0">
              <a:solidFill>
                <a:srgbClr val="f7f7f7"/>
              </a:solidFill>
              <a:custDash>
                <a:ds d="385900" sp="385900"/>
              </a:custDash>
            </a:ln>
          </c:spPr>
        </c:majorGridlines>
        <c:title>
          <c:tx>
            <c:rich>
              <a:bodyPr rot="0"/>
              <a:lstStyle/>
              <a:p>
                <a:pPr>
                  <a:defRPr b="1" sz="900" spc="-1" strike="noStrike">
                    <a:solidFill>
                      <a:srgbClr val="f7f7f7"/>
                    </a:solidFill>
                    <a:latin typeface="Arial Cyr"/>
                  </a:defRPr>
                </a:pPr>
                <a:r>
                  <a:rPr b="1" sz="900" spc="-1" strike="noStrike">
                    <a:solidFill>
                      <a:srgbClr val="f7f7f7"/>
                    </a:solidFill>
                    <a:latin typeface="Arial Cyr"/>
                  </a:rPr>
                  <a:t>Y</a:t>
                </a:r>
              </a:p>
            </c:rich>
          </c:tx>
          <c:layout>
            <c:manualLayout>
              <c:xMode val="edge"/>
              <c:yMode val="edge"/>
              <c:x val="0.0460022359322595"/>
              <c:y val="0.0475143726750085"/>
            </c:manualLayout>
          </c:layout>
          <c:overlay val="0"/>
          <c:spPr>
            <a:noFill/>
            <a:ln w="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0">
            <a:solidFill>
              <a:srgbClr val="f7f7f7"/>
            </a:solidFill>
          </a:ln>
        </c:spPr>
        <c:txPr>
          <a:bodyPr/>
          <a:lstStyle/>
          <a:p>
            <a:pPr>
              <a:defRPr b="1" sz="800" spc="-1" strike="noStrike">
                <a:solidFill>
                  <a:srgbClr val="f7f7f7"/>
                </a:solidFill>
                <a:latin typeface="Arial Cyr"/>
              </a:defRPr>
            </a:pPr>
          </a:p>
        </c:txPr>
        <c:crossAx val="32692568"/>
        <c:crosses val="autoZero"/>
        <c:crossBetween val="midCat"/>
        <c:majorUnit val="500"/>
      </c:valAx>
      <c:spPr>
        <a:noFill/>
        <a:ln w="12600">
          <a:noFill/>
        </a:ln>
      </c:spPr>
    </c:plotArea>
    <c:legend>
      <c:legendPos val="r"/>
      <c:layout>
        <c:manualLayout>
          <c:xMode val="edge"/>
          <c:yMode val="edge"/>
          <c:x val="0.733551405738893"/>
          <c:y val="0.446821102468718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1" sz="1200" spc="-1" strike="noStrike">
              <a:solidFill>
                <a:srgbClr val="f7f7f7"/>
              </a:solidFill>
              <a:latin typeface="Arial Cyr"/>
            </a:defRPr>
          </a:pPr>
        </a:p>
      </c:txPr>
    </c:legend>
    <c:plotVisOnly val="1"/>
    <c:dispBlanksAs val="gap"/>
  </c:chart>
  <c:spPr>
    <a:noFill/>
    <a:ln w="1260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LibreOffice/7.3.7.2$Linux_X86_64 LibreOffice_project/30$Build-2</Application>
  <AppVersion>15.0000</AppVersion>
  <Pages>3</Pages>
  <Words>240</Words>
  <Characters>1190</Characters>
  <CharactersWithSpaces>1323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2024-01-16T22:15:00Z</dcterms:created>
  <dc:creator>Касьяненко Вера Михайловна</dc:creator>
  <dc:description/>
  <dc:language>ru-RU</dc:language>
  <cp:lastModifiedBy/>
  <dcterms:modified xsi:type="dcterms:W3CDTF">2024-01-17T11:58:03Z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