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T06. Кормление и комбикорм</w:t>
      </w:r>
    </w:p>
    <w:p>
      <w:pPr>
        <w:jc w:val="center"/>
      </w:pPr>
      <w:r>
        <w:rPr>
          <w:i/>
          <w:sz w:val="20"/>
        </w:rPr>
        <w:t>Проект «МОЯ МЕЧТА» | baseline кролиководство | 2026-06-24</w:t>
      </w:r>
    </w:p>
    <w:p>
      <w:pPr>
        <w:jc w:val="center"/>
      </w:pPr>
      <w:r>
        <w:rPr>
          <w:sz w:val="20"/>
        </w:rPr>
        <w:t>FRAGOLA, рецепты, табл. 141</w:t>
      </w:r>
    </w:p>
    <w:p/>
    <w:p>
      <w:pPr>
        <w:pStyle w:val="Heading1"/>
      </w:pPr>
      <w:r>
        <w:t>Действие при замене блока</w:t>
      </w:r>
    </w:p>
    <w:p>
      <w:r>
        <w:t>action_on_replace: adapt</w:t>
      </w:r>
    </w:p>
    <w:p>
      <w:pPr>
        <w:pStyle w:val="Heading1"/>
      </w:pPr>
      <w:r>
        <w:t>Содержание по источникам</w:t>
      </w:r>
    </w:p>
    <w:p>
      <w:pPr>
        <w:pStyle w:val="Heading2"/>
      </w:pPr>
      <w:r>
        <w:t>Источник: docs/graphify-corpus/01-vvedenie-i-resume.md</w:t>
      </w:r>
    </w:p>
    <w:p>
      <w:r>
        <w:t>Ссылки на исходный ТЭО (файл:строка):</w:t>
      </w:r>
    </w:p>
    <w:p>
      <w:r>
        <w:rPr>
          <w:rFonts w:ascii="Consolas" w:hAnsi="Consolas"/>
          <w:color w:val="1A568E"/>
          <w:sz w:val="18"/>
        </w:rPr>
        <w:t>↳ docs/graphify-corpus/01-vvedenie-i-resume.md:108–114</w:t>
      </w:r>
    </w:p>
    <w:p>
      <w:r>
        <w:rPr>
          <w:rFonts w:ascii="Consolas" w:hAnsi="Consolas"/>
          <w:color w:val="1A568E"/>
          <w:sz w:val="18"/>
        </w:rPr>
        <w:t>↳ docs/graphify-corpus/01-vvedenie-i-resume.md:346–356</w:t>
      </w:r>
    </w:p>
    <w:p>
      <w:r>
        <w:rPr>
          <w:rFonts w:ascii="Consolas" w:hAnsi="Consolas"/>
          <w:color w:val="1A568E"/>
          <w:sz w:val="18"/>
        </w:rPr>
        <w:t>↳ docs/graphify-corpus/01-vvedenie-i-resume.md:424–432</w:t>
      </w:r>
    </w:p>
    <w:p>
      <w:r>
        <w:rPr>
          <w:rFonts w:ascii="Consolas" w:hAnsi="Consolas"/>
          <w:color w:val="1A568E"/>
          <w:sz w:val="18"/>
        </w:rPr>
        <w:t>↳ docs/graphify-corpus/01-vvedenie-i-resume.md:470–478</w:t>
      </w:r>
    </w:p>
    <w:p>
      <w:r>
        <w:rPr>
          <w:rFonts w:ascii="Consolas" w:hAnsi="Consolas"/>
          <w:color w:val="1A568E"/>
          <w:sz w:val="18"/>
        </w:rPr>
        <w:t>↳ docs/graphify-corpus/01-vvedenie-i-resume.md:801–807</w:t>
      </w:r>
    </w:p>
    <w:p>
      <w:r>
        <w:rPr>
          <w:rFonts w:ascii="Consolas" w:hAnsi="Consolas"/>
          <w:color w:val="1A568E"/>
          <w:sz w:val="18"/>
        </w:rPr>
        <w:t>↳ docs/graphify-corpus/01-vvedenie-i-resume.md:963–969</w:t>
      </w:r>
    </w:p>
    <w:p>
      <w:r>
        <w:rPr>
          <w:rFonts w:ascii="Consolas" w:hAnsi="Consolas"/>
          <w:color w:val="1A568E"/>
          <w:sz w:val="18"/>
        </w:rPr>
        <w:t>↳ docs/graphify-corpus/01-vvedenie-i-resume.md:1053–1063</w:t>
      </w:r>
    </w:p>
    <w:p>
      <w:r>
        <w:rPr>
          <w:rFonts w:ascii="Consolas" w:hAnsi="Consolas"/>
          <w:color w:val="1A568E"/>
          <w:sz w:val="18"/>
        </w:rPr>
        <w:t>↳ docs/graphify-corpus/01-vvedenie-i-resume.md:1637–1643</w:t>
      </w:r>
    </w:p>
    <w:p>
      <w:r>
        <w:rPr>
          <w:rFonts w:ascii="Consolas" w:hAnsi="Consolas"/>
          <w:color w:val="1A568E"/>
          <w:sz w:val="18"/>
        </w:rPr>
        <w:t>↳ docs/graphify-corpus/01-vvedenie-i-resume.md:1684–1694</w:t>
      </w:r>
    </w:p>
    <w:p>
      <w:pPr>
        <w:pStyle w:val="Heading3"/>
      </w:pPr>
      <w:r>
        <w:t>Фрагмент docs/graphify-corpus/01-vvedenie-i-resume.md:108–114</w:t>
      </w:r>
    </w:p>
    <w:p>
      <w:r>
        <w:t>Животноводство (КРС 30 000 голов и МРС 60 000 голов) — 20 000 тн мяса в год, 50 000 тн молочных продуктов в год, 600 тыс. м2 натуральная кожа в год, 6 000 тн желатин в год, 3 000 тн кровяная мука в год (итальянская технология)</w:t>
        <w:br/>
        <w:t>Рыбоводство (белуга 70 000 голов) — 20 тн чёрной икры в год (итальянская технология)</w:t>
        <w:br/>
        <w:t>Масложировой комбинат (650 т в сутки) — 50 000 тн масло в год, 110 000 тн шрот в год, 33 000 тн маргарин в год</w:t>
        <w:br/>
        <w:t>Комбикормовый завод — 262 800 тн в год (итальянская технология)</w:t>
        <w:br/>
        <w:t>Биогазовая установка (20 Мвт.ч. электроэнергии) — энергетическая независимость и 600 000 тн удобрения (итальянская технология)</w:t>
        <w:br/>
        <w:t>Солнечные панели (50 Мвт.ч.) - энергетическая независимость и зеленая энергия</w:t>
        <w:br/>
        <w:t>Экономические показатели:</w:t>
      </w:r>
    </w:p>
    <w:p>
      <w:pPr>
        <w:pStyle w:val="Heading3"/>
      </w:pPr>
      <w:r>
        <w:t>Фрагмент docs/graphify-corpus/01-vvedenie-i-resume.md:346–356</w:t>
      </w:r>
    </w:p>
    <w:p>
      <w:r>
        <w:t>Для реализации этого проекта мы планируем закупить необходимую сельскохозяйственную технику, используя инвестиции.</w:t>
      </w:r>
    </w:p>
    <w:p>
      <w:r>
        <w:t>Основными продуктами для изготовления комбикорма будут являться шрот подсолнечника и сои. Мы планируем перерабатывать подсолнечник и сои в масложировом комбинате.</w:t>
      </w:r>
    </w:p>
    <w:p>
      <w:r>
        <w:t>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r>
        <w:t>Таким образом, себестоимость кормов будет значительно ниже, чем при их закупке у сторонних производителей, что позволит оптимизировать расходы и повысить рентабельность проекта.</w:t>
      </w:r>
    </w:p>
    <w:p>
      <w:pPr>
        <w:pStyle w:val="Heading3"/>
      </w:pPr>
      <w:r>
        <w:t>Фрагмент docs/graphify-corpus/01-vvedenie-i-resume.md:424–432</w:t>
      </w:r>
    </w:p>
    <w:p>
      <w:r>
        <w:t>Проектная мощность установок позволяет производить больше энергии, чем необходимо для внутреннего потребления. Излишки электроэнергии будут продаваться государству.</w:t>
      </w:r>
    </w:p>
    <w:p>
      <w:r>
        <w:t>Кормовая база для кроликов: 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r>
        <w:t>Таким образом, себестоимость кормов будет значительно ниже, чем при их закупке у сторонних производителей, что позволит оптимизировать расходы и повысить рентабельность проекта.</w:t>
      </w:r>
    </w:p>
    <w:p>
      <w:pPr>
        <w:pStyle w:val="Heading3"/>
      </w:pPr>
      <w:r>
        <w:t>Фрагмент docs/graphify-corpus/01-vvedenie-i-resume.md:470–478</w:t>
      </w:r>
    </w:p>
    <w:p>
      <w:r>
        <w:t>Проектная мощность установок позволяет производить больше энергии, чем необходимо для внутреннего потребления. Излишки электроэнергии будут продаваться государству.</w:t>
      </w:r>
    </w:p>
    <w:p>
      <w:r>
        <w:t>Кормовая база для рыб:</w:t>
        <w:br/>
        <w:t>Корма будут производиться на нашем собственном комбикормовом заводе, поставленном итальянской компанией F.lli FRAGOLA S.p.a. Мощность завода составляет 262 800 тонн в год.</w:t>
      </w:r>
    </w:p>
    <w:p>
      <w:r>
        <w:t>На заводе будут производиться высококачественные комбикорма, которые обеспечат здоровье животных, исключая необходимость в применении дополнительных лекарств. Для производства комбикормов мы будем использовать сырье, выращенное на собственных сельскохозяйственных угодьях.</w:t>
      </w:r>
    </w:p>
    <w:p>
      <w:r>
        <w:t>Таким образом, себестоимость кормов будет значительно ниже, чем при их закупке у сторонних производителей, что позволит оптимизировать расходы и повысить рентабельность проекта.</w:t>
      </w:r>
    </w:p>
    <w:p>
      <w:pPr>
        <w:pStyle w:val="Heading3"/>
      </w:pPr>
      <w:r>
        <w:t>Фрагмент docs/graphify-corpus/01-vvedenie-i-resume.md:801–807</w:t>
      </w:r>
    </w:p>
    <w:p>
      <w:r>
        <w:t>Дополнительные мощности для кролиководческой фермы</w:t>
      </w:r>
    </w:p>
    <w:p>
      <w:r>
        <w:t>Комбикормовый завод. Завод по производству комбикормов. Все оборудование будет поставлено и установлено известной итальянской компанией «F.LLI FRAGOLA S.P.A.», которая является мировым лидером по производству заводов по производству комбикормов. Мощность завода – 27-30 тонна в час или 262 800,00 тонн комбикорма в год.</w:t>
      </w:r>
    </w:p>
    <w:p>
      <w:r>
        <w:t>Кролики питаются комбинированным сухим кормом, приготовленным по специальной рецептуре, разработанной ведущими европейскими специалистами.</w:t>
      </w:r>
    </w:p>
    <w:p>
      <w:pPr>
        <w:pStyle w:val="Heading3"/>
      </w:pPr>
      <w:r>
        <w:t>Фрагмент docs/graphify-corpus/01-vvedenie-i-resume.md:963–969</w:t>
      </w:r>
    </w:p>
    <w:p>
      <w:r>
        <w:t>34 000,00 га-для посева сои;</w:t>
        <w:br/>
        <w:t>12 000,00 га-для посева других сельхоз культур;</w:t>
      </w:r>
    </w:p>
    <w:p>
      <w:r>
        <w:t>На планируем подстроить завод по производству комбикорма для крупного рогатого скота, малого рогатого скота и рыб итальянского производства с мощностью 262 800 тонн в год.</w:t>
      </w:r>
    </w:p>
    <w:p>
      <w:r>
        <w:t>За счет создания собственной кормовой базы и использования зеленой энергии мы планируем:</w:t>
      </w:r>
    </w:p>
    <w:p>
      <w:pPr>
        <w:pStyle w:val="Heading3"/>
      </w:pPr>
      <w:r>
        <w:t>Фрагмент docs/graphify-corpus/01-vvedenie-i-resume.md:1053–1063</w:t>
      </w:r>
    </w:p>
    <w:p>
      <w:r>
        <w:t>Водоснабжение – 72,0 м3/час. Источник: собственная артезианская скважина.</w:t>
        <w:br/>
        <w:t>Режим работы: 24 часа в сутки, 365 дней в год.</w:t>
      </w:r>
    </w:p>
    <w:p>
      <w:r>
        <w:t>Завод по производству комбикормов будет поставлено и установлено известной итальянской компанией «F.LLI FRAGOLA S.P.A.», которая является мировым лидером по производству заводов по производству комбикормов.</w:t>
      </w:r>
    </w:p>
    <w:p>
      <w:r>
        <w:t>Производственная мощность:</w:t>
        <w:br/>
        <w:t>27,0 - 30,0 тонна в час;</w:t>
        <w:br/>
        <w:t>262 800,0 тонн комбикорма в год;</w:t>
      </w:r>
    </w:p>
    <w:p>
      <w:r>
        <w:t>Инженерные коммуникации:</w:t>
        <w:br/>
        <w:t>Электроэнергия – 1380,0 кВт/час. Источник: солнечные панели, мощностью 10,0 МВт. час+20 МВт. час + Биогазовая установка;</w:t>
      </w:r>
    </w:p>
    <w:p>
      <w:pPr>
        <w:pStyle w:val="Heading3"/>
      </w:pPr>
      <w:r>
        <w:t>Фрагмент docs/graphify-corpus/01-vvedenie-i-resume.md:1637–1643</w:t>
      </w:r>
    </w:p>
    <w:p>
      <w:r>
        <w:t>В России необходимо создать селекционно-генетические центры, где будет сформировано чистопородное поголовье мясного направления продуктивности. Сейчас популярны иностранные породы, но возможность приобретения советского поголовья привлечет в отрасль свежий приток инвестиций.</w:t>
      </w:r>
    </w:p>
    <w:p>
      <w:r>
        <w:t>Вторая задача – наладить производство качественного российского комбикорма для кроликов. Больше половины себестоимости мяса приходится именно на корм, поэтому так важно сократить издержки на его покупку. В данный момент промышленные производители не довольны качеством предлагаемого отечественными производителями корма.</w:t>
      </w:r>
    </w:p>
    <w:p>
      <w:r>
        <w:t>Необходимо также наладить финансовую и правовую помощь государства в виде субсидий, грантов и выплат. Союзом кролиководов и Минсельхозом был разработан проект программы по развитию кролиководства и увеличению производства продукции кролиководства в России на 2020-2025 годы. Новый показатель потребления мяса кролика на душу населения равен 500 г в год. Для достижения этого плана нужно увеличить промышленное поголовье до 970 тыс. кроликов, что принесет 73 тыс.т. мяса в год.</w:t>
      </w:r>
    </w:p>
    <w:p>
      <w:pPr>
        <w:pStyle w:val="Heading3"/>
      </w:pPr>
      <w:r>
        <w:t>Фрагмент docs/graphify-corpus/01-vvedenie-i-resume.md:1684–1694</w:t>
      </w:r>
    </w:p>
    <w:p>
      <w:r>
        <w:t>15. Отсутствует пропаганда здорового образа жизни для детей, переход с синтетических изделий на экологически чистый, теплый мех кролика.</w:t>
      </w:r>
    </w:p>
    <w:p>
      <w:r>
        <w:t>Предложения по развитию кролиководства</w:t>
        <w:br/>
        <w:t>1. Решив в комплексе вышеперечисленные проблемы нам необходимо изменить отношение к отрасли. В одном регионе необходимо разместить несколько кроликоферм, рядом с ними селекционный центр или племрепродуктор, комбикормовый завод, комбинат по убою и первичной обработке мяса, мини-фабрику по выделке шкурок и пошиву изделий, в первую очередь для детей дошкольного возраста и младших классов.</w:t>
        <w:br/>
        <w:t>2. Примеры таких ферм есть уже в России, например: в Таврическом районе Омской области организована ферма под названием ООО «Омский кролик».</w:t>
        <w:br/>
        <w:t>3. Ферма работает с полным циклом производства по французской технологии интенсивного кролиководства. На предприятии применяется полная автоматизация всех процессов (кормление, поение, вентиляция, охлаждение, отопление). Одну ферму на несколько тысяч голов обслуживает 2-3 человека. ООО «Омский кролик» – это пример динамичного развития сельхозпредприятия, активно внедряющего современные технологии животноводства.</w:t>
        <w:br/>
        <w:t>4. На предприятии организовано искусственное и естественное осеменение кроликов, нагрузка на 1 самца пород белый великан и калифорнийская составляет 120 самок, породы серебристая – 100.</w:t>
        <w:br/>
        <w:t>5. При ферме построен комбикормовый завод, кроликов кормят полнорационным сухим кормом, состоящим из 15 компонентов, мощность завода 2 тонны кормов в час.</w:t>
        <w:br/>
        <w:t>6. Рядом с фермой размещается собственный убойный цех и цех переработки, на котором используется новейшее технологическое оборудование, позволяющее производить широкий ассортимент мясной продукции, которая проходит через вакуумно-упаковочное оборудование (Голландия), позволяющее упаковывать мясо кроликов в вакуумную среду, что увеличивает срок.</w:t>
      </w:r>
    </w:p>
    <w:p>
      <w:r>
        <w:t>Рост продаж мяса кроликов на 1,3% до 10,2 тыс. тонн</w:t>
      </w:r>
    </w:p>
    <w:p>
      <w:pPr>
        <w:pStyle w:val="Heading2"/>
      </w:pPr>
      <w:r>
        <w:t>Источник: docs/graphify-corpus/03-proizvodstvo-i-tehnologii.md</w:t>
      </w:r>
    </w:p>
    <w:p>
      <w:r>
        <w:t>Ссылки на исходный ТЭО (файл:строка):</w:t>
      </w:r>
    </w:p>
    <w:p>
      <w:r>
        <w:rPr>
          <w:rFonts w:ascii="Consolas" w:hAnsi="Consolas"/>
          <w:color w:val="1A568E"/>
          <w:sz w:val="18"/>
        </w:rPr>
        <w:t>↳ docs/graphify-corpus/03-proizvodstvo-i-tehnologii.md:1519–1522</w:t>
      </w:r>
    </w:p>
    <w:p>
      <w:r>
        <w:rPr>
          <w:rFonts w:ascii="Consolas" w:hAnsi="Consolas"/>
          <w:color w:val="1A568E"/>
          <w:sz w:val="18"/>
        </w:rPr>
        <w:t>↳ docs/graphify-corpus/03-proizvodstvo-i-tehnologii.md:776–782</w:t>
      </w:r>
    </w:p>
    <w:p>
      <w:r>
        <w:rPr>
          <w:rFonts w:ascii="Consolas" w:hAnsi="Consolas"/>
          <w:color w:val="1A568E"/>
          <w:sz w:val="18"/>
        </w:rPr>
        <w:t>↳ docs/graphify-corpus/03-proizvodstvo-i-tehnologii.md:784–790</w:t>
      </w:r>
    </w:p>
    <w:p>
      <w:pPr>
        <w:pStyle w:val="Heading3"/>
      </w:pPr>
      <w:r>
        <w:t>Фрагмент docs/graphify-corpus/03-proizvodstvo-i-tehnologii.md:1519–1522</w:t>
      </w:r>
    </w:p>
    <w:p>
      <w:pPr>
        <w:pStyle w:val="Heading2"/>
      </w:pPr>
      <w:r>
        <w:t>Табл. 141. Рецепты комбикормов для кроликов</w:t>
      </w:r>
    </w:p>
    <w:p>
      <w:r>
        <w:t>Состав комбикорма для КРС: ячмень - 28%; овес - 12%; пшеницу (кукурузу) - 25%; шрот подсолнечника - 25%; меласса - 5%; монокальцийфосфат - 2%; соль поваренную - 1%; премикс - 1%, известняковая мука-1%.</w:t>
      </w:r>
    </w:p>
    <w:p>
      <w:r>
        <w:t>Состав комбикорма для осетровых рыб: рыбная мука - 41%; кукурузный глютен - 10%; дрожжи гидролизные-5%, пшеница - 16%; шрот подсолнечника - 20%; рыбий жир - 7%; премикс - 1%.</w:t>
      </w:r>
    </w:p>
    <w:p>
      <w:pPr>
        <w:pStyle w:val="Heading3"/>
      </w:pPr>
      <w:r>
        <w:t>Фрагмент docs/graphify-corpus/03-proizvodstvo-i-tehnologii.md:776–782</w:t>
      </w:r>
    </w:p>
    <w:p>
      <w:r>
        <w:t>Качественные характеристики продукции напрямую зависят от оборудования на заводе, где производится продукт. При создании комбикорма необходимо не только соблюдать правильную дозировку компонентов, но и контролировать все этапы процесса.</w:t>
        <w:br/>
        <w:t>Современный комбинированный корм — это высокотехнологичный продукт, который сочетает в себе данные, полученные экспериментальным путем, а также высокотехнологичное производство согласно нормам ГОСТа.</w:t>
        <w:br/>
        <w:t>Полнорационные корма для КРС, птицы, кроликов изготавливают из:</w:t>
        <w:br/>
        <w:t>зерновых. Овес, пшеница, ячмень, тритикале, кукуруза, просо — это источник углеводов. В зависимости от возраста и вида животных процент зерновых в комбикорме может доходить до 85%;</w:t>
        <w:br/>
        <w:t>шрот или жмых подсолнечника, сои, льна — источник в рационе ненасыщенных жиров, жирорастворимых витаминов. В кормовой смеси растительных жиров от 15 до 25%;</w:t>
        <w:br/>
        <w:t>бобовые. Горох, соя, люпин в комбикорм добавляются в количестве до 45% (самый высокий процент белковых компонентов в комбикормах для беременных самок и молодняка на подсосе). В сое и других бобовых много ингибиторов трипсина (фермента желудочного сока). Поэтому бобовые добавляются в комбикорм после экструзии, микронизации, прожаривания и другой тепловой обработки;</w:t>
      </w:r>
    </w:p>
    <w:p>
      <w:pPr>
        <w:pStyle w:val="Heading3"/>
      </w:pPr>
      <w:r>
        <w:t>Фрагмент docs/graphify-corpus/03-proizvodstvo-i-tehnologii.md:784–790</w:t>
      </w:r>
    </w:p>
    <w:p>
      <w:r>
        <w:t>грубые корма с высоким содержанием клетчатки (сено, травяная мука, солома);</w:t>
        <w:br/>
        <w:t>аминокислоты. Незаменимые (те, которые не синтезируются в организме животных) аминокислоты — лизин, цистин + метионин, триптофан, треонин. Их наличие в корме обязательно для нормального роста, развития и продуктивности животных;</w:t>
        <w:br/>
        <w:t>минеральные смеси. Каменная соль, сульфат магния, динатрийфосфат, йодид калия, карбонат кальция — самые популярные минеральные добавки в кормлении. Минералы влияют на метаболизм, активность сердечно-сосудистой системы, калиево-натриевого клеточного насоса. Дефицит микроэлементов провоцирует рахит, снижение продуктивности животных, плохое переваривание корма, тремор, истощение;</w:t>
        <w:br/>
        <w:t>витаминные добавки. Витамин Е, А — жирорастворимые витамины. Они влияют на жировой обмен веществ, активность репродуктивной системы, процессы автолиза после убоя. Тиамин — водорастворимый витамин группы В. Особенно чувствительные к дефициту витамина В1 свиньи, птица, кролики. Гиповитаминоз тиамина провоцирует параличи, треморы, нарушение углеводного обмена веществ и общее истощение организма. Витамин В12 отвечает за насыщение тканей кислородом. Дефицит вещества провоцирует анемию, задержки в росте, эмбриональный падеж;</w:t>
        <w:br/>
        <w:t>биостимуляторы. Антиоксиданты, сорбенты, пробиотики и пребиотики, энзимы, водоросли, ил, сапропель — все эти вещества не имеют питательной ценности. Так зачем их добавляют в комбикорм? Эти компоненты налаживают работу микрофлоры кишечника, повышают усвояемость корма, подавляют развитие патогенной и условно-патогенной микрофлоры в организме животного. Значение стимуляторов особенно высоко в условиях промышленного содержания животных и птицы.</w:t>
      </w:r>
    </w:p>
    <w:p>
      <w:pPr>
        <w:pStyle w:val="Heading3"/>
      </w:pPr>
      <w:r>
        <w:t>Виды корма для рыб</w:t>
      </w:r>
    </w:p>
    <w:p>
      <w:pPr>
        <w:pStyle w:val="Heading2"/>
      </w:pPr>
      <w:r>
        <w:t>Источник: docs/teo/125-табл-141-рецепты-комбикормов-для-кроликов.md</w:t>
      </w:r>
    </w:p>
    <w:p>
      <w:r>
        <w:t>Ссылки на исходный ТЭО (файл:строка):</w:t>
      </w:r>
    </w:p>
    <w:p>
      <w:r>
        <w:rPr>
          <w:rFonts w:ascii="Consolas" w:hAnsi="Consolas"/>
          <w:color w:val="1A568E"/>
          <w:sz w:val="18"/>
        </w:rPr>
        <w:t>↳ docs/teo/125-табл-141-рецепты-комбикормов-для-кроликов.md:1–70</w:t>
      </w:r>
    </w:p>
    <w:p>
      <w:pPr>
        <w:pStyle w:val="Heading2"/>
      </w:pPr>
      <w:r>
        <w:t>Табл. 141. Рецепты комбикормов для кроликов</w:t>
      </w:r>
    </w:p>
    <w:p>
      <w:r>
        <w:t>Состав комбикорма для КРС: ячмень - 28%; овес - 12%; пшеницу (кукурузу) - 25%; шрот подсолнечника - 25%; меласса - 5%; монокальцийфосфат - 2%; соль поваренную - 1%; премикс - 1%, известняковая мука-1%.</w:t>
      </w:r>
    </w:p>
    <w:p>
      <w:r>
        <w:t>Состав комбикорма для осетровых рыб: рыбная мука - 41%; кукурузный глютен - 10%; дрожжи гидролизные-5%, пшеница - 16%; шрот подсолнечника - 20%; рыбий жир - 7%; премикс - 1%.</w:t>
      </w:r>
    </w:p>
    <w:p>
      <w:pPr>
        <w:pStyle w:val="Heading3"/>
      </w:pPr>
      <w:r>
        <w:t>Основные методы получения удобрений из навоза</w:t>
      </w:r>
    </w:p>
    <w:p>
      <w:r>
        <w:t>Компостирование</w:t>
      </w:r>
    </w:p>
    <w:p>
      <w:r>
        <w:t>Навозная масса совмещается со слоями травы, золы, органики, торфа и стружки. Высота компостной массы должна составлять примерно от 2 до 4 метров.</w:t>
      </w:r>
    </w:p>
    <w:p>
      <w:r>
        <w:t>Каждый пласт компоста подвергают прессованию и увлажнению водой.</w:t>
      </w:r>
    </w:p>
    <w:p>
      <w:r>
        <w:t>Нужный продукт получается после обработки температурой в 60 градусов по Цельсию, после чего удобрение можно вносить в почву.</w:t>
      </w:r>
    </w:p>
    <w:p>
      <w:r>
        <w:t>Технология выращивания томата</w:t>
      </w:r>
    </w:p>
    <w:p>
      <w:r>
        <w:t>Теплица — тип садового парника, отличающаяся размерами.</w:t>
        <w:br/>
        <w:t>Представляет собой защитное сооружение. Применяется для выращивания ранней рассады (капусты, томатов, огурцов, цветов сеянцев, укоренения черенков или доращивания горшочных растений), для последующего высаживания в открытый грунт. Но в отличие от парника размеры позволяют организовать весь цикл выращивания той или иной культуры.</w:t>
        <w:br/>
        <w:t>Теплицы покрываются полиэтиленовой плёнкой, стеклом, пластиком или усотовым поликарбонатом. Внутри них исходящее от солнца инфракрасное излучение подогревает растения и почву. Воздух, нагретый от внутренней поверхности, удерживается внутри конструкции крышей и стенками.</w:t>
        <w:br/>
        <w:t>Теплица представляет из себя одно единое сооружение. Полностью автоматизированный процесс возведения помидоров с использованием технологии капельного орошения и климат-контроля.  Металлоконструкции основания теплицы–оцинкованные стальные. Покрытие теплицы полиолефиновая пленка , прочная и полностью герметичная.</w:t>
        <w:br/>
        <w:t>Данная модель теплицы оснащена:</w:t>
        <w:br/>
        <w:t>- солнцезащитными шторами с теплосохраняющим экраном;</w:t>
        <w:br/>
        <w:t>Отопление планируется от собственной водогрейной котельной. Для отопления помещения теплицы, будут применять отопительные воздухонагревательные  котлы, работающие на природном газе.</w:t>
        <w:br/>
        <w:t>Котлы будут работать исключительно в ночное время суток в холодную погоду по 8 часов, так как дополнительно применяются другие описанные выше системы контроля температуры и влажности воздуха, этого времени вполне достаточно. Выбросами вредных веществ, будет являться труба диаметром 0,2м при высоте 9 м.</w:t>
        <w:br/>
        <w:t>-циркуляционными/ вытяжными вентиляторами обеспечивающими температуру внутри теплицы равномерной и рассеивающую влажность воздуха, что предотвращает образование застойности воздуха и повышает интенсивность фотосинтеза, благодаря чему, ограничивает доступ вредителям и защищает от различных болезней.</w:t>
        <w:br/>
        <w:t>В качестве дополнительного поливасистемы «туманообразования», используется только в жаркий период для снижения температуры с 15 апреля по 1 июня – 45 суток.</w:t>
        <w:br/>
        <w:t>Она состоит из 25-ти линий и имеет всего 2100 шт. дождевальных форсунок. Дождевальная система включается автоматически через каждые 7 минут на 20 секунд с 11 до 16 часов, т.е. 8 раз в час, 40 раз в сутки или 13,33 минуты в сутки. Расход воды рассчитывается из общего расчета расхода воды, в пересчете на 1га.</w:t>
        <w:br/>
        <w:t>- капельная система полива, означающая, что индивидуально к каждому растению подведена трубка с капельным оросителем спряженной с  системой автоматической подачи удобрений по установленным расходам удобрений. Каждый сектор теплицы управляется автоматизированной и независимой поливочной головкой.</w:t>
        <w:br/>
        <w:t>Основной полив растений теплицы осуществляется капельным методом. К каждому растению подведена своя капельная установка.</w:t>
        <w:br/>
        <w:t>Вода для полива используется от оросительной системы. Поливная вода проходит специальную систему фильтрации и очищенная, насосом подается в  емкость для хранения воды. Перед самым поливом вода второй раз проходит через фильтрационную установку, для исключения засорения капельных установок и поливных форсунок.</w:t>
        <w:br/>
        <w:t>- Система экологического контроля. Система экологического контроля  разработана для управления окном, шторами, отоплением и влажностью в теплице путем формирования данных о температуре, влажности, скорости ветра, направлении ветра и др. в теплице.</w:t>
        <w:br/>
        <w:t>Функция управления</w:t>
        <w:br/>
        <w:t>Управление окном на крыше, двойным окном на крыше и боковым окном;</w:t>
        <w:br/>
        <w:t>Управление теплосохраняющими экранами;</w:t>
        <w:br/>
        <w:t>Управление солнцезащитными шторами;</w:t>
        <w:br/>
        <w:t>Управление CO2;</w:t>
        <w:br/>
        <w:t>Управление оросительным пастеризатором;</w:t>
        <w:br/>
        <w:t>Управление циркуляционными вентиляторами;</w:t>
        <w:br/>
        <w:t>Управление вытяжными вентиляторами;</w:t>
        <w:br/>
        <w:t>Управление системами охлаждения и отопления;</w:t>
        <w:br/>
        <w:t>Управление циркуляционным насосом для котла;</w:t>
        <w:br/>
        <w:t>Управление 3-ходовым клапаном котла.</w:t>
        <w:br/>
        <w:t>Искусственное освещение в данной теплице не предусмотрено, применяется только естественное – солнечным светом.</w:t>
        <w:br/>
        <w:t>Для предохранения растений от ожогов днем в жаркий период (создания тени) и экономии тепла ночью в холодный период  – в теплице имеются специальные светоотражательные шатровые экраны. Они выполнены из синтетического материала с алюминиевым покрытием. В обычное время они находятся вверху теплицы в свернутом состоянии, при необходимости опускаются до высоты около  от поверхности и разворачиваются.</w:t>
        <w:br/>
        <w:t>Технология выращивания томатов в теплице.</w:t>
        <w:br/>
        <w:t>В данном тепличном хозяйстве будут выращиваться производственным поточным методом томаты (помидоры) голландских сортов. Проектная мощность тепличного хозяйства – от 100,0 до 150,0 тонн свежих овощей в год каждого гектара. Высота взрослых растений – 3 – , кусты стелющиеся, на специальных подставках.</w:t>
        <w:br/>
        <w:t>Вес одного спелого плода 120 – . С теплиц планируется собирать до 250,0 тонн урожая. Через 90 дней начинается сбор урожая.</w:t>
        <w:br/>
        <w:t>Теплица, так называемая «полузакрытая теплица», созданная по данной технологии, сохраняет все преимущества теплиц ранее известных типов, но во многом превосходит их по целому ряду параметров:</w:t>
        <w:br/>
        <w:t>Теплица поддерживает в любой период времени года идеальный микроклимат.</w:t>
        <w:br/>
        <w:t>Зимой или весной при перегревах, также, как и в простых теплицах, приоткрываются форточки, правда этих форточек на 90% меньше, чем в обычных теплицах и служат они лишь для снятия небольшого избыточного давления, под которым находится теплица.  При этом воздух всегда выходит из теплицы и здесь принципиально не возможен температурный шок, а так как форточек малое количество, соответственно, и меньшие потери тепла.</w:t>
        <w:br/>
        <w:t>Летом теплица способна охлаждать себя. Она снабжена по всей длине адиабатическими панелями, на которые поступает вода. Вода, испаряясь, забирает часть энергии и, охлажденный таким образом воздух, поступает в теплицу.</w:t>
        <w:br/>
        <w:t>Практическое использование такой системы охлаждения в теплице показало, что возможно снижение температуры в теплице до 10 °С, что, в свою очередь, благоприятно влияет на растения и не происходит потери урожая.</w:t>
        <w:br/>
        <w:t>Теплица позволяет экономить затраты на отопление.</w:t>
        <w:br/>
        <w:t>Происходит это за счет вторичного использования тепловой энергии. В обычной теплице теплый воздух от труб обогрева поднимается вверх и через остекление крыши теплицы выходит наружу, причем, чем больше разница температур наружного и внутреннего воздуха, тем интенсивность транспирации выше. Естественно в зимний период расход тепла максимальный.</w:t>
        <w:br/>
        <w:t>В теплицах данного типа теплый воздух, поднимающийся вверх, отбирается вентиляторами и снова подается на отопление по пластиковым рукавам, расположенным под каждой грядкой. Теплица в любой период времени может поддерживать оптимальный уровень СО2.</w:t>
        <w:br/>
        <w:t>Известно, что в период, когда приходится открывать форточки, поддержать нужный для технологии уровень СО2 в простой теплице не представляется возможным. Он всегда стремится к естественному фону на улице, а это примерно 400 ppm.</w:t>
        <w:br/>
        <w:t>Такой уровень СО2 недостаточен для полноценного фотосинтеза, что ведет к потере урожая. В теплице данного типа, ввиду ее «полузакрытости», удается гораздо в большей степени поддерживать необходимую концентрацию СО2, и это благотворно влияет на урожайность. Теплица защищена от проникновения вредителей. Одной из особенностей теплицы данного типа, является наличие избыточного давления внутри. При открывании форточек и входных ворот насекомые не могут преодолеть силу избыточного давления и не проникают в теплицу.</w:t>
        <w:br/>
        <w:t>В теплице данного типа не происходит застоя воздуха, что препятствует развитию заболеваний, благодаря пленочным рукавам, расположенным под каждой грядкой. Воздушные рукава под каждой грядкой, служащие для подачи теплого воздуха с заданными параметрами, обеспечивают так называемый «активный микроклимат».</w:t>
        <w:br/>
        <w:t>В простой теплице для этого приходится топить регистры, что так же ведет к перерасходу тепловой энергии.</w:t>
        <w:br/>
        <w:t>Томат, или огурцы, культура теплолюбивая и при заморозках -1 –   -2 0С погибает. При температуре ниже 15 0С не цветет, а при 80С не растет. Оптимальная температура для его развития 20-28 0С.  Низкая влажность воздуха при температуре выше 320С, вызывает опадение цветков.</w:t>
        <w:br/>
        <w:t>Основными агротехническими условиями хорошего урожая является соблюдение режимов подготовки и обработки почво-грунтов теплицы, выращивания рассады, температурного режима почвы и воздуха теплицы, полива растений, внесения удобрений, обработки растений от вредителей, сбора урожая и т.д.</w:t>
        <w:br/>
        <w:t>Уход за растущими и плодоносящими растениями заключается в рыхлении поддонов, поливе, подкормке, окучивании и пасынковании растений.</w:t>
        <w:br/>
        <w:t>Готовая рассада томатов высотой 3- в ящиках закупается у других поставщиков в РУз. Рассада высаживается в теплице в начале октября.  Высаживают рассаду в специальные емкости желоба, высотой до одного метра.</w:t>
        <w:br/>
        <w:t>Во время посадки рассаду поливают. Минеральные удобрения и микроэлементы, необходимые для развития растений вносят при помощи полива капельным орошением.  В качестве грунта в теплице будут применять гидропонную культуру (кокосовые субстраты).</w:t>
        <w:br/>
        <w:t>Кокосовые субстраты представляют собой экологически чистое органическое вещество. Кокосовые субстраты – это субстраты, способствующие росту корней, поэтому в них можно пересадить растения без какой-нибудь обработки или добавок.</w:t>
        <w:br/>
        <w:t>В отличие от выращивания без почвы кокосовые субстраты даже имеют высокую воздух удерживающую способность при водонасещенности. Хотя кокосовые субстраты имеют высокую воздух удерживающую способность при водонасещенности, требуется более длинное время высушивания, чем субстраты для обычной гидропоники.</w:t>
        <w:br/>
        <w:t>Кокосовые субстраты способствуют преодолению краткосрочного отсутствия удобрений и воды в растениях. За все время роста растения этот вид грунта не меняется. Опыление цветков томатов в теплице производят при помощи определенного вида шмелей (у пчел слишком маленький хоботок).</w:t>
        <w:br/>
        <w:t>Ботву томатов после сбора урожая в начале июня вручную собирают, складируют для просушки на специальной площадке.</w:t>
      </w:r>
    </w:p>
    <w:p>
      <w:pPr>
        <w:pStyle w:val="Heading2"/>
      </w:pPr>
      <w:r>
        <w:t>Источник: docs/scenarios/baseline.yaml</w:t>
      </w:r>
    </w:p>
    <w:p>
      <w:r>
        <w:t>Ссылки на исходный ТЭО (файл:строка):</w:t>
      </w:r>
    </w:p>
    <w:p>
      <w:r>
        <w:rPr>
          <w:rFonts w:ascii="Consolas" w:hAnsi="Consolas"/>
          <w:color w:val="1A568E"/>
          <w:sz w:val="18"/>
        </w:rPr>
        <w:t>↳ docs/scenarios/baseline.yaml:1–76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