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Сверка RAG vs исходный ТЭО (кролиководство)</w:t>
      </w:r>
    </w:p>
    <w:p>
      <w:pPr>
        <w:jc w:val="center"/>
      </w:pPr>
      <w:r>
        <w:rPr>
          <w:i/>
          <w:sz w:val="20"/>
        </w:rPr>
        <w:t>2026-06-24</w:t>
      </w:r>
    </w:p>
    <w:p>
      <w:pPr>
        <w:pStyle w:val="Heading1"/>
      </w:pPr>
      <w:r>
        <w:t>Итог</w:t>
      </w:r>
    </w:p>
    <w:p>
      <w:r>
        <w:t>Факты KPI: 8/9 | Файлы в индексе: 24/26 | Чанков block=кролиководство: 19</w:t>
      </w:r>
    </w:p>
    <w:p>
      <w:pPr>
        <w:pStyle w:val="Heading1"/>
      </w:pPr>
      <w:r>
        <w:t>Канонические факты по слоям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Факт</w:t>
            </w:r>
          </w:p>
        </w:tc>
        <w:tc>
          <w:tcPr>
            <w:tcW w:type="dxa" w:w="1728"/>
          </w:tcPr>
          <w:p>
            <w:r>
              <w:t>corpus</w:t>
            </w:r>
          </w:p>
        </w:tc>
        <w:tc>
          <w:tcPr>
            <w:tcW w:type="dxa" w:w="1728"/>
          </w:tcPr>
          <w:p>
            <w:r>
              <w:t>source_teo</w:t>
            </w:r>
          </w:p>
        </w:tc>
        <w:tc>
          <w:tcPr>
            <w:tcW w:type="dxa" w:w="1728"/>
          </w:tcPr>
          <w:p>
            <w:r>
              <w:t>kpi</w:t>
            </w:r>
          </w:p>
        </w:tc>
        <w:tc>
          <w:tcPr>
            <w:tcW w:type="dxa" w:w="1728"/>
          </w:tcPr>
          <w:p>
            <w:r>
              <w:t>bm25</w:t>
            </w:r>
          </w:p>
        </w:tc>
      </w:tr>
      <w:tr>
        <w:tc>
          <w:tcPr>
            <w:tcW w:type="dxa" w:w="1728"/>
          </w:tcPr>
          <w:p>
            <w:r>
              <w:t>7 000 т/год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CAPEX 12 млрд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NPV 2 779 519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IRR 15,19%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payback 84 мес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Meneghin Srl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SINT 2400 г/ч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навоз 43 800 т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  <w:tr>
        <w:tc>
          <w:tcPr>
            <w:tcW w:type="dxa" w:w="1728"/>
          </w:tcPr>
          <w:p>
            <w:r>
              <w:t>ANCI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OK</w:t>
            </w:r>
          </w:p>
        </w:tc>
      </w:tr>
    </w:tbl>
    <w:p>
      <w:pPr>
        <w:pStyle w:val="Heading1"/>
      </w:pPr>
      <w:r>
        <w:t>Покрытие файлов</w:t>
      </w:r>
    </w:p>
    <w:p>
      <w:r>
        <w:t>[OK] docs/graphify-corpus/00-summary.md — упоминаний: 5, в chunk-index: да</w:t>
      </w:r>
    </w:p>
    <w:p>
      <w:r>
        <w:t>[OK] docs/graphify-corpus/01-vvedenie-i-resume.md — упоминаний: 159, в chunk-index: да</w:t>
      </w:r>
    </w:p>
    <w:p>
      <w:r>
        <w:t>[OK] docs/graphify-corpus/03-proizvodstvo-i-tehnologii.md — упоминаний: 47, в chunk-index: да</w:t>
      </w:r>
    </w:p>
    <w:p>
      <w:r>
        <w:t>[OK] docs/graphify-corpus/04-rynok-i-analitika.md — упоминаний: 87, в chunk-index: да</w:t>
      </w:r>
    </w:p>
    <w:p>
      <w:r>
        <w:t>[OK] docs/teo/124-кролики-особенности-содержания-и-разведения.md — упоминаний: 42, в chunk-index: да</w:t>
      </w:r>
    </w:p>
    <w:p>
      <w:r>
        <w:t>[ПРОВЕРИТЬ] docs/teo/125-табл-141-рецепты-комбикормов-для-кроликов.md — упоминаний: 1, в chunk-index: нет</w:t>
      </w:r>
    </w:p>
    <w:p>
      <w:r>
        <w:t>[OK] docs/teo/08-мировой-рынок-крольчатины.md — упоминаний: 41, в chunk-index: да</w:t>
      </w:r>
    </w:p>
    <w:p>
      <w:r>
        <w:t>[OK] docs/teo/01-23-потенциал-существующий-и-прогнозируемый.md — упоминаний: 39, в chunk-index: да</w:t>
      </w:r>
    </w:p>
    <w:p>
      <w:r>
        <w:t>[OK] docs/teo/109-по-прогнозам-международной-организации-по-продовольствию-при.md — упоминаний: 81, в chunk-index: да</w:t>
      </w:r>
    </w:p>
    <w:p>
      <w:r>
        <w:t>[OK] docs/teo/00-меморандум-о-конфиденциальности.md — упоминаний: 30, в chunk-index: да</w:t>
      </w:r>
    </w:p>
    <w:p>
      <w:r>
        <w:t>[OK] docs/teo/05-4-рынок-и-концепция-маркетинга.md — упоминаний: 20, в chunk-index: да</w:t>
      </w:r>
    </w:p>
    <w:p>
      <w:r>
        <w:t>[OK] docs/teo/02-оон-в-мире-голодают-три-четверти-миллиарда-человек.md — упоминаний: 9, в chunk-index: да</w:t>
      </w:r>
    </w:p>
    <w:p>
      <w:r>
        <w:t>[OK] docs/teo/122-сельхозпроизводство-в-2024-году-снизилось-на-32.md — упоминаний: 15, в chunk-index: да</w:t>
      </w:r>
    </w:p>
    <w:p>
      <w:r>
        <w:t>[OK] docs/teo/108-экспорт-товаров-группы-1517-маргарин-пригодные-для-употребле.md — упоминаний: 2, в chunk-index: да</w:t>
      </w:r>
    </w:p>
    <w:p>
      <w:r>
        <w:t>[OK] docs/teo/134-корма-для-выращивания-рыбы-в-узв.md — упоминаний: 3, в chunk-index: да</w:t>
      </w:r>
    </w:p>
    <w:p>
      <w:r>
        <w:t>[ПРОВЕРИТЬ] docs/teo/27-бельгия-табл-42-весь-мир-мясо-и-пищевые-мясные-субпродукты-с.md — упоминаний: 5, в chunk-index: нет</w:t>
      </w:r>
    </w:p>
    <w:p>
      <w:r>
        <w:t>[OK] docs/teo/07-виды-и-особенности-кожи-крс.md — упоминаний: 4, в chunk-index: да</w:t>
      </w:r>
    </w:p>
    <w:p>
      <w:r>
        <w:t>[OK] docs/scenarios/baseline.yaml — упоминаний: 7, в chunk-index: нет</w:t>
      </w:r>
    </w:p>
    <w:p>
      <w:pPr>
        <w:pStyle w:val="Heading1"/>
      </w:pPr>
      <w:r>
        <w:t>Известные пробелы RAG</w:t>
      </w:r>
    </w:p>
    <w:p>
      <w:r>
        <w:t>[medium] docs/teo/125-табл-141-рецепты-комбикормов-для-кроликов.md не попадает в vector index: is_trade_stat_file() фильтрует «табл-N».</w:t>
      </w:r>
    </w:p>
    <w:p>
      <w:pPr>
        <w:pStyle w:val="ListBullet"/>
      </w:pPr>
      <w:r>
        <w:t>→ Контент дублируется в docs/graphify-corpus/03-proizvodstvo (Табл. 141).</w:t>
      </w:r>
    </w:p>
    <w:p>
      <w:r>
        <w:t>[low] Запрос «сколько тонн крольчатины» без KPI-слова уходит в graph → мировой рынок, а не 7 000 т проекта.</w:t>
      </w:r>
    </w:p>
    <w:p>
      <w:pPr>
        <w:pStyle w:val="ListBullet"/>
      </w:pPr>
      <w:r>
        <w:t>→ Использовать KPI fast path: «кролиководство NPV» / «7 000 т кролик».</w:t>
      </w:r>
    </w:p>
    <w:p>
      <w:r>
        <w:t>[low] IRR 15,19% для кроликов — в 00-summary и kpi.json; в 01-vvedenie может отсутствовать дословно.</w:t>
      </w:r>
    </w:p>
    <w:p>
      <w:pPr>
        <w:pStyle w:val="ListBullet"/>
      </w:pPr>
      <w:r>
        <w:t>→ KPI-слой teo-query покрывает NPV/IRR запросы.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