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2E"/>
          <w:sz w:val="36"/>
        </w:rPr>
        <w:t>ПТИЦЕВОДЧЕСКИЙ КОМПЛЕКС «НОВА-АГРО»</w:t>
      </w:r>
    </w:p>
    <w:p>
      <w:pPr>
        <w:jc w:val="center"/>
      </w:pPr>
      <w:r>
        <w:rPr>
          <w:rFonts w:ascii="Arial" w:hAnsi="Arial"/>
          <w:b/>
          <w:sz w:val="28"/>
        </w:rPr>
        <w:t>СВОДНЫЙ РАСЧЁТ КОМПЛЕКСА ПОД 12 МЛРД ₽</w:t>
      </w:r>
    </w:p>
    <w:p>
      <w:pPr>
        <w:jc w:val="center"/>
      </w:pPr>
      <w:r>
        <w:rPr>
          <w:rFonts w:ascii="Arial" w:hAnsi="Arial"/>
          <w:i/>
          <w:sz w:val="20"/>
        </w:rPr>
        <w:t>Направление агрохолдинга «Нова-Агро» · Запорожская область · участок 150–400 га · июнь 2026</w:t>
      </w:r>
    </w:p>
    <w:p/>
    <w:p>
      <w:pPr>
        <w:pStyle w:val="Heading1"/>
      </w:pPr>
      <w:r>
        <w:rPr>
          <w:rFonts w:ascii="Arial" w:hAnsi="Arial"/>
          <w:color w:val="1F4E2E"/>
        </w:rPr>
        <w:t>Резюме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За 12 млрд ₽ на земельном участке 150–400 га создаётся вертикально интегрированный птицеводческий комплекс полного цикла — одно из направлений агрохолдинга «Нова-Агро». Ставка сделана на бройлер и куриное яйцо как «несущие стены» (≈70% направленческого CAPEX и &gt;90% выручки), а индейка, утка, гусь и перепел развиваются как меньшие маржинальные направления, расширяющие ассортимент и устойчивость. Комплекс производит ≈18,2 тыс. т мяса птицы, ≈153,6 млн куриных и 7 млн перепелиных яиц в год, создаёт ≈480 рабочих мест, даёт выручку ≈5,0 млрд ₽/год и EBITDA ≈1,44 млрд ₽/год (маржа 28,6%) с простой окупаемостью ≈8,3 года.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Все расчёты опираются на актуальные оптовые цены и нормативы РФ по состоянию на II квартал 2026 года и проверены на непротиворечивость в финансовой модели. Цены приняты консервативно.</w:t>
      </w:r>
    </w:p>
    <w:p>
      <w:pPr>
        <w:pStyle w:val="Heading1"/>
      </w:pPr>
      <w:r>
        <w:rPr>
          <w:rFonts w:ascii="Arial" w:hAnsi="Arial"/>
          <w:color w:val="1F4E2E"/>
        </w:rPr>
        <w:t>Ответ на вопрос 1. Оптимальные породы (кроссы) птицы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Подобраны промышленные кроссы, доминирующие на рынке РФ и обеспечивающие лучший выход продукции с рубля затрат: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2438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Рекомендуемый кросс</w:t>
            </w:r>
          </w:p>
        </w:tc>
        <w:tc>
          <w:tcPr>
            <w:tcW w:type="dxa" w:w="4535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8"/>
              </w:rPr>
              <w:t>Бройлер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/>
                <w:b w:val="0"/>
                <w:sz w:val="18"/>
              </w:rPr>
              <w:t>ROSS 308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8"/>
              </w:rPr>
              <w:t>лидер РФ; FCR ≈1,8; убой 42 дня; выносливость, стабильный выход 75%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8"/>
              </w:rPr>
              <w:t>Куриное яйцо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/>
                <w:b w:val="0"/>
                <w:sz w:val="18"/>
              </w:rPr>
              <w:t>Hisex / Lohmann Brown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8"/>
              </w:rPr>
              <w:t>300–320 яиц/год; длинный продуктивный период ~80 нед.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8"/>
              </w:rPr>
              <w:t>Индейка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/>
                <w:b w:val="0"/>
                <w:sz w:val="18"/>
              </w:rPr>
              <w:t>BUT Big 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8"/>
              </w:rPr>
              <w:t>высокий выход тяжёлой тушки (самцы до 15–17 кг)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8"/>
              </w:rPr>
              <w:t>Утка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/>
                <w:b w:val="0"/>
                <w:sz w:val="18"/>
              </w:rPr>
              <w:t>Cherry Valley SM3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8"/>
              </w:rPr>
              <w:t>быстрый откорм 55 дней, нетребовательность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8"/>
              </w:rPr>
              <w:t>Гусь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/>
                <w:b w:val="0"/>
                <w:sz w:val="18"/>
              </w:rPr>
              <w:t>Линдовская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8"/>
              </w:rPr>
              <w:t>отечественный кросс, пастбищное содержание, пух/жир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8"/>
              </w:rPr>
              <w:t>Перепёл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/>
                <w:b w:val="0"/>
                <w:sz w:val="18"/>
              </w:rPr>
              <w:t>Фараон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8"/>
              </w:rPr>
              <w:t>мясной кросс; яйцо — премиальная ниша</w:t>
            </w:r>
          </w:p>
        </w:tc>
      </w:tr>
    </w:tbl>
    <w:p>
      <w:pPr>
        <w:pStyle w:val="Heading1"/>
      </w:pPr>
      <w:r>
        <w:rPr>
          <w:rFonts w:ascii="Arial" w:hAnsi="Arial"/>
          <w:color w:val="1F4E2E"/>
        </w:rPr>
        <w:t>Ответ на вопрос 2. Объём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Продукция</w:t>
            </w:r>
          </w:p>
        </w:tc>
        <w:tc>
          <w:tcPr>
            <w:tcW w:type="dxa" w:w="3402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Объём в 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Мясо бройлера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17 024 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Мясо индейки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674 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Мясо утки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252 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Мясо гуся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20 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Мясо перепела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200 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ИТОГО мясо птицы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18 170 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Куриное яйцо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153,6 млн шт.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Перепелиное яйцо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7,0 млн шт.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Побочная продукция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перьевая/кровяная мука, жир, биоудобрения</w:t>
            </w:r>
          </w:p>
        </w:tc>
      </w:tr>
    </w:tbl>
    <w:p>
      <w:pPr>
        <w:pStyle w:val="Heading1"/>
      </w:pPr>
      <w:r>
        <w:rPr>
          <w:rFonts w:ascii="Arial" w:hAnsi="Arial"/>
          <w:color w:val="1F4E2E"/>
        </w:rPr>
        <w:t>Ответ на вопрос 3. Птичники, инкубаторы и технологические здания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Всего ≈118 птичников/модулей выращивания и комплекс технологических объектов: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141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835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Параметры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Бройлерные птичники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2 000 м², 18 000 гол.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Птичники кур-несушек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клеточные, 80 000 гол.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Индюшиные птичники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1 500 м², 2 500 гол.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Утиные птичники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1 000 м², 2 000 гол.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Гусиные птичники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600 м² + пастбище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Перепелиные модули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3 мясных + ½ несушек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Инкубаторий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500 тыс. яиц/нед.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Убойно-перерабатывающий комплекс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3 линии + халяль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Цех сортировки/упаковки яйца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до 0,5 млн шт./день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Холодильный склад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4 000 т (−18 / +2 °C)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Склады кормов (силосы)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приёмка и хранение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Энергоцентр (биогаз + ГПУ)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электро/тепло из помёта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Ветблок, лаборатория, АБК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биозащита, управление</w:t>
            </w:r>
          </w:p>
        </w:tc>
      </w:tr>
    </w:tbl>
    <w:p>
      <w:pPr>
        <w:pStyle w:val="Heading1"/>
      </w:pPr>
      <w:r>
        <w:rPr>
          <w:rFonts w:ascii="Arial" w:hAnsi="Arial"/>
          <w:color w:val="1F4E2E"/>
        </w:rPr>
        <w:t>Ответ на вопрос 4. Технологический цикл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Полное описание технологического цикла (инкубация → выращивание/откорм по видам → убой и переработка → охлаждение/хранение → отгрузка, плюс ветеринарная биозащита и график оборотов) вынесено в отдельный файл: «1. Технологический цикл птицефабрики (Нова-Агро).docx».</w:t>
      </w:r>
    </w:p>
    <w:p>
      <w:pPr>
        <w:pStyle w:val="Heading1"/>
      </w:pPr>
      <w:r>
        <w:rPr>
          <w:rFonts w:ascii="Arial" w:hAnsi="Arial"/>
          <w:color w:val="1F4E2E"/>
        </w:rPr>
        <w:t>Ответ на вопрос 5. Единовременное поголовье и обороты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Вид</w:t>
            </w:r>
          </w:p>
        </w:tc>
        <w:tc>
          <w:tcPr>
            <w:tcW w:type="dxa" w:w="2835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Единоврем. поголовье</w:t>
            </w:r>
          </w:p>
        </w:tc>
        <w:tc>
          <w:tcPr>
            <w:tcW w:type="dxa" w:w="2268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Оборотов/год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Бройлер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1 440 000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6,5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Куры-несушки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480 000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непрерывно (~80 нед.)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Индейка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30 000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2,0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Утка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20 000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5,0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Гусь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2 400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2,0 (сезон)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Перепёл мясной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150 000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7,0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Перепёл несушки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8"/>
              </w:rPr>
              <w:t>25 000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18"/>
              </w:rPr>
              <w:t>непрерывно</w:t>
            </w:r>
          </w:p>
        </w:tc>
      </w:tr>
      <w:tr>
        <w:tc>
          <w:tcPr>
            <w:tcW w:type="dxa" w:w="2835"/>
            <w:shd w:fill="D9E5DC"/>
          </w:tcPr>
          <w:p>
            <w:r/>
            <w:r>
              <w:rPr>
                <w:rFonts w:ascii="Arial" w:hAnsi="Arial"/>
                <w:b/>
                <w:sz w:val="18"/>
              </w:rPr>
              <w:t>ИТОГО</w:t>
            </w:r>
          </w:p>
        </w:tc>
        <w:tc>
          <w:tcPr>
            <w:tcW w:type="dxa" w:w="2835"/>
            <w:shd w:fill="D9E5DC"/>
          </w:tcPr>
          <w:p>
            <w:r/>
            <w:r>
              <w:rPr>
                <w:rFonts w:ascii="Arial" w:hAnsi="Arial"/>
                <w:b/>
                <w:sz w:val="18"/>
              </w:rPr>
              <w:t>≈ 2 147 400</w:t>
            </w:r>
          </w:p>
        </w:tc>
        <w:tc>
          <w:tcPr>
            <w:tcW w:type="dxa" w:w="2268"/>
            <w:shd w:fill="D9E5DC"/>
          </w:tcPr>
          <w:p>
            <w:r/>
            <w:r>
              <w:rPr>
                <w:rFonts w:ascii="Arial" w:hAnsi="Arial"/>
                <w:b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rFonts w:ascii="Arial" w:hAnsi="Arial"/>
          <w:color w:val="1F4E2E"/>
        </w:rPr>
        <w:t>Ответ на вопрос 6. Затраты, рабочие места и штат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OPEX при полной мощности ≈3 593 млн ₽/год (крупнейшая статья — корма, 52%). Создаётся ≈480 рабочих мест. Подробные затраты, организационная структура ООО «Нова-Агро — Птицеводство» и полное штатное расписание с окладами (ориентир — средний уровень оплаты в АПК РФ) вынесены в отдельный файл: «2. Затраты, оргструктура и штатное расписание (Нова-Агро).docx».</w:t>
      </w:r>
    </w:p>
    <w:p>
      <w:pPr>
        <w:pStyle w:val="Heading1"/>
      </w:pPr>
      <w:r>
        <w:rPr>
          <w:rFonts w:ascii="Arial" w:hAnsi="Arial"/>
          <w:color w:val="1F4E2E"/>
        </w:rPr>
        <w:t>Экономика комплекса (сводно)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402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CAPEX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12 000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Выручка (полная мощность)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5 034 млн ₽/год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OPEX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3 593 млн ₽/год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EBITDA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1 441 млн ₽/год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Маржа EBITDA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28,6%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Простая окупаемость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8,3 года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Рабочих мест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≈ 480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Налоговый режим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ЕСХН 6%</w:t>
            </w:r>
          </w:p>
        </w:tc>
      </w:tr>
    </w:tbl>
    <w:p>
      <w:pPr>
        <w:jc w:val="both"/>
      </w:pPr>
      <w:r>
        <w:rPr>
          <w:rFonts w:ascii="Arial" w:hAnsi="Arial"/>
          <w:b w:val="0"/>
          <w:i w:val="0"/>
          <w:sz w:val="22"/>
        </w:rPr>
        <w:t>Структура CAPEX по направлениям: бройлер+яйцо — 2 405 млн ₽ (≈70% направленческого CAPEX), прочие виды — 1 045 млн ₽ (≈30%), общая инфраструктура (инкубаторий, убой, холод, энергетика, сети, ветблок и т.д.) — 8 550 млн ₽. Это полностью соответствует выбранной стратегии «бройлер+яйцо ≈70%».</w:t>
      </w:r>
    </w:p>
    <w:p>
      <w:pPr>
        <w:pStyle w:val="Heading1"/>
      </w:pPr>
      <w:r>
        <w:rPr>
          <w:rFonts w:ascii="Arial" w:hAnsi="Arial"/>
          <w:color w:val="1F4E2E"/>
        </w:rPr>
        <w:t>Земельный участок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Под комплекс достаточно участка 150–400 га. Застройка (птичники, переработка, склады, энергоцентр, АБК, дороги) занимает ≈60–90 га; остальная площадь используется под санитарно-защитную зону, поля для внесения переработанного помёта/компоста и резерв под расширение. Размещение зон выполнено с соблюдением ветеринарных санитарных разрывов и разделения «чистых»/«грязных» потоков.</w:t>
      </w:r>
    </w:p>
    <w:p>
      <w:pPr>
        <w:pStyle w:val="Heading1"/>
      </w:pPr>
      <w:r>
        <w:rPr>
          <w:rFonts w:ascii="Arial" w:hAnsi="Arial"/>
          <w:color w:val="1F4E2E"/>
        </w:rPr>
        <w:t>Связь с агрохолдингом (синергии)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Комплекс рассчитан как направление холдинга, а не автономное предприятие. Корма поступают с комбикормового завода холдинга (≈300 тыс. т/год; птицеводству нужно ≈66,7 тыс. т/год — ~22% мощности) по себестоимости ~28 000 ₽/т вместо рыночных 31–35 тыс. ₽/т. Помёт идёт в энергетику холдинга (биогаз) и в производство удобрений; убой и часть сбыта/экспорта, казначейство и кадровое администрирование частично опираются на общие службы холдинга, что снижает накладные расходы и CAPEX направления.</w:t>
      </w:r>
    </w:p>
    <w:p>
      <w:pPr>
        <w:pStyle w:val="Heading1"/>
      </w:pPr>
      <w:r>
        <w:rPr>
          <w:rFonts w:ascii="Arial" w:hAnsi="Arial"/>
          <w:color w:val="1F4E2E"/>
        </w:rPr>
        <w:t>Допущения, источники и риски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Цены (опт, РФ, II кв. 2026, консервативно): бройлер 205 ₽/кг (тушка ~200 + разделка/халяль), индейка 360, утка 320, гусь 480, перепёл 450 ₽/кг; куриное яйцо 7,0 ₽/шт (≈70 ₽/дес.), перепелиное 3,0 ₽/шт; комбикорм 28 000 ₽/т. Продуктивность кроссов — по отраслевым нормативам (FCR, сроки откорма, яйценоскость, убойный выход).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Ключевые риски, которые необходимо учитывать: (1) волатильность цены куриного яйца — в 2025–2026 гг. рынок периодически уходил в профицит, оптовые цены опускались ниже себестоимости; модель использует консервативные 70 ₽/дес., но сегмент чувствителен к перепроизводству; (2) рост цен на корма (основная статья затрат) — частично хеджируется собственным заводом и сырьём холдинга; (3) эпизоотические риски (грипп птицы) — снижаются биозащитой и диверсификацией по 6 видам; (4) проект в новом регионе — повышенные требования к инфраструктуре и логистике уже заложены в CAPEX. Расчёт укрупнённый, до обслуживания долга; точные параметры финансирования уточняются на стадии проектирования.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