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T01. Финансы блока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NPV, IRR, payback, CAPEX, цена реализации</w:t>
      </w:r>
    </w:p>
    <w:p/>
    <w:p>
      <w:pPr>
        <w:pStyle w:val="Heading1"/>
      </w:pPr>
      <w:r>
        <w:t>Действие при замене блока</w:t>
      </w:r>
    </w:p>
    <w:p>
      <w:r>
        <w:t>action_on_replace: replace</w:t>
      </w:r>
    </w:p>
    <w:p>
      <w:pPr>
        <w:pStyle w:val="Heading1"/>
      </w:pPr>
      <w:r>
        <w:t>Содержание по источникам</w:t>
      </w:r>
    </w:p>
    <w:p>
      <w:pPr>
        <w:pStyle w:val="Heading2"/>
      </w:pPr>
      <w:r>
        <w:t>Источник: docs/graphify-corpus/00-summary.md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docs/graphify-corpus/00-summary.md:13–20</w:t>
      </w:r>
    </w:p>
    <w:p>
      <w:r>
        <w:rPr>
          <w:rFonts w:ascii="Consolas" w:hAnsi="Consolas"/>
          <w:color w:val="1A568E"/>
          <w:sz w:val="18"/>
        </w:rPr>
        <w:t>↳ docs/graphify-corpus/00-summary.md:25–31</w:t>
      </w:r>
    </w:p>
    <w:p>
      <w:r>
        <w:rPr>
          <w:rFonts w:ascii="Consolas" w:hAnsi="Consolas"/>
          <w:color w:val="1A568E"/>
          <w:sz w:val="18"/>
        </w:rPr>
        <w:t>↳ docs/graphify-corpus/00-summary.md:33–39</w:t>
      </w:r>
    </w:p>
    <w:p>
      <w:pPr>
        <w:pStyle w:val="Heading3"/>
      </w:pPr>
      <w:r>
        <w:t>Фрагмент docs/graphify-corpus/00-summary.md:13–20</w:t>
      </w:r>
    </w:p>
    <w:p>
      <w:pPr>
        <w:pStyle w:val="Heading3"/>
      </w:pPr>
      <w:r>
        <w:t>Производственные блоки</w:t>
      </w:r>
    </w:p>
    <w:p>
      <w:r>
        <w:t>- Кролиководство: 7 000 т мяса/год (Meneghin Srl)</w:t>
        <w:br/>
        <w:t>- Теплицы 100 га: 18 400 т овощей, 376 млн цветов</w:t>
        <w:br/>
        <w:t>- Животноводство: КРС 30 000, МРС 60 000, молоко 50 000 т</w:t>
        <w:br/>
        <w:t>- Рыбоводство: 70 000 белуг, 20 т икры/год</w:t>
        <w:br/>
        <w:t>- Масложировой комбинат: 50 000 т масла, 33 000 т маргарина</w:t>
        <w:br/>
        <w:t>- Биогаз 20 МВт·ч, солнечные панели 50 МВт·ч</w:t>
        <w:br/>
        <w:t>- Переработка: кожа, халяльный желатин, кровяная мука</w:t>
      </w:r>
    </w:p>
    <w:p>
      <w:pPr>
        <w:pStyle w:val="Heading3"/>
      </w:pPr>
      <w:r>
        <w:t>Фрагмент docs/graphify-corpus/00-summary.md:25–31</w:t>
      </w:r>
    </w:p>
    <w:p>
      <w:pPr>
        <w:pStyle w:val="Heading3"/>
      </w:pPr>
      <w:r>
        <w:t>Фазы и CAPEX (млрд руб.)</w:t>
      </w:r>
    </w:p>
    <w:p>
      <w:r>
        <w:t>| Блок | CAPEX |</w:t>
        <w:br/>
        <w:t>| Кролиководство | 12 |</w:t>
        <w:br/>
        <w:t>| Теплицы | 34,5 |</w:t>
        <w:br/>
        <w:t>| Животноводство | 40 |</w:t>
        <w:br/>
        <w:t>| Рыбоводство | 8 |</w:t>
        <w:br/>
        <w:t>| Масложировой | 5,5 |</w:t>
      </w:r>
    </w:p>
    <w:p>
      <w:pPr>
        <w:pStyle w:val="Heading3"/>
      </w:pPr>
      <w:r>
        <w:t>Фрагмент docs/graphify-corpus/00-summary.md:33–39</w:t>
      </w:r>
    </w:p>
    <w:p>
      <w:pPr>
        <w:pStyle w:val="Heading3"/>
      </w:pPr>
      <w:r>
        <w:t>Финансовые KPI (NPV тыс. руб., IRR при 10%)</w:t>
      </w:r>
    </w:p>
    <w:p>
      <w:r>
        <w:t>| Блок | NPV | IRR | Payback мес |</w:t>
        <w:br/>
        <w:t>| Кролиководство | 2 779 519 | 15,19% | 84 |</w:t>
        <w:br/>
        <w:t>| Теплицы | 33 861 691 | 28,99% | 49 |</w:t>
        <w:br/>
        <w:t>| Животноводство | 28 915 288 | 23,25% | 61 |</w:t>
        <w:br/>
        <w:t>| Рыбоводство | 3 863 808 | 17,19% | 85 |</w:t>
        <w:br/>
        <w:t>| Масложировой | 26 826 029 | 90,24% | 15 |</w:t>
      </w:r>
    </w:p>
    <w:p>
      <w:pPr>
        <w:pStyle w:val="Heading2"/>
      </w:pPr>
      <w:r>
        <w:t>Источник: docs/scenarios/baseline.yaml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docs/scenarios/baseline.yaml:1–76</w:t>
      </w:r>
    </w:p>
    <w:p>
      <w:r>
        <w:t>{}</w:t>
      </w:r>
    </w:p>
    <w:p>
      <w:pPr>
        <w:pStyle w:val="Heading2"/>
      </w:pPr>
      <w:r>
        <w:t>Источник: docs/graphify-corpus/01-vvedenie-i-resume.md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docs/graphify-corpus/01-vvedenie-i-resume.md:103–109</w:t>
      </w:r>
    </w:p>
    <w:p>
      <w:r>
        <w:rPr>
          <w:rFonts w:ascii="Consolas" w:hAnsi="Consolas"/>
          <w:color w:val="1A568E"/>
          <w:sz w:val="18"/>
        </w:rPr>
        <w:t>↳ docs/graphify-corpus/01-vvedenie-i-resume.md:208–214</w:t>
      </w:r>
    </w:p>
    <w:p>
      <w:r>
        <w:rPr>
          <w:rFonts w:ascii="Consolas" w:hAnsi="Consolas"/>
          <w:color w:val="1A568E"/>
          <w:sz w:val="18"/>
        </w:rPr>
        <w:t>↳ docs/graphify-corpus/01-vvedenie-i-resume.md:228–234</w:t>
      </w:r>
    </w:p>
    <w:p>
      <w:r>
        <w:rPr>
          <w:rFonts w:ascii="Consolas" w:hAnsi="Consolas"/>
          <w:color w:val="1A568E"/>
          <w:sz w:val="18"/>
        </w:rPr>
        <w:t>↳ docs/graphify-corpus/01-vvedenie-i-resume.md:390–401</w:t>
      </w:r>
    </w:p>
    <w:p>
      <w:pPr>
        <w:pStyle w:val="Heading3"/>
      </w:pPr>
      <w:r>
        <w:t>Фрагмент docs/graphify-corpus/01-vvedenie-i-resume.md:103–109</w:t>
      </w:r>
    </w:p>
    <w:p>
      <w:r>
        <w:t>Проект направлен на создание крупного, вертикально интегрированного агропромышленного комплекса на территории Херсонской области РФ, с полным циклом производства от выращивания кормов до глубокой переработки животноводческой продукции.</w:t>
        <w:br/>
        <w:t>Общая площадь земель — 135 000 га, из них 100 000 га — под агропромышленный комплекс, 35 000 га — заповедник. Посевные площади составляют 80 000 га, из них 34 000 га под подсолнечник, 34 000 га под сою, 12 000 га под другие культуры.</w:t>
        <w:br/>
        <w:t>Ключевые направления проекта:</w:t>
        <w:br/>
        <w:t>Кролиководство (6 млн. голов) — 7 000 тн мяса в год (итальянская технология)</w:t>
        <w:br/>
        <w:t>Тепличный комплекс (100 га) — 18 400 тн овощей в год, 376,0 млн шт. цветов в год (голландская технология)</w:t>
        <w:br/>
        <w:t>Животноводство (КРС 30 000 голов и МРС 60 000 голов) — 20 000 тн мяса в год, 50 000 тн молочных продуктов в год, 600 тыс. м2 натуральная кожа в год, 6 000 тн желатин в год, 3 000 тн кровяная мука в год (итальянская технология)</w:t>
        <w:br/>
        <w:t>Рыбоводство (белуга 70 000 голов) — 20 тн чёрной икры в год (итальянская технология)</w:t>
      </w:r>
    </w:p>
    <w:p>
      <w:pPr>
        <w:pStyle w:val="Heading3"/>
      </w:pPr>
      <w:r>
        <w:t>Фрагмент docs/graphify-corpus/01-vvedenie-i-resume.md:208–214</w:t>
      </w:r>
    </w:p>
    <w:p>
      <w:r>
        <w:t>Планируемый ежедневный объём поставок: 38–40 тонн.</w:t>
        <w:br/>
        <w:t>Цены реализации:</w:t>
        <w:br/>
        <w:t>говядина — 480 рублей за кг;</w:t>
        <w:br/>
        <w:t>телятина — 560 рублей за кг.</w:t>
        <w:br/>
        <w:t>Вся продукция (100%) будет реализована на внутреннем рынке.</w:t>
      </w:r>
    </w:p>
    <w:p>
      <w:r>
        <w:t>Годовая производственная мощность:</w:t>
      </w:r>
    </w:p>
    <w:p>
      <w:pPr>
        <w:pStyle w:val="Heading3"/>
      </w:pPr>
      <w:r>
        <w:t>Фрагмент docs/graphify-corpus/01-vvedenie-i-resume.md:228–234</w:t>
      </w:r>
    </w:p>
    <w:p>
      <w:r>
        <w:t>Планируемый ежедневный объём поставок — 16-18 тонн.</w:t>
        <w:br/>
        <w:t>Цены реализации:</w:t>
        <w:br/>
        <w:t>баранина — 480 рублей за кг;</w:t>
        <w:br/>
        <w:t>ягнятина — 560 рублей за кг.</w:t>
        <w:br/>
        <w:t>Вся продукция (100%) будет реализована на внутреннем рынке.</w:t>
        <w:br/>
        <w:t>Бойня для овец и крупного рогатого скота.</w:t>
      </w:r>
    </w:p>
    <w:p>
      <w:pPr>
        <w:pStyle w:val="Heading3"/>
      </w:pPr>
      <w:r>
        <w:t>Фрагмент docs/graphify-corpus/01-vvedenie-i-resume.md:390–401</w:t>
      </w:r>
    </w:p>
    <w:p>
      <w:r>
        <w:t>Всего: 5 049 000 голов</w:t>
      </w:r>
    </w:p>
    <w:p>
      <w:r>
        <w:t>Производственная мощность:</w:t>
        <w:br/>
        <w:t>Мясо кролика: 7 000 тонн в год</w:t>
        <w:br/>
        <w:t>Субпродукты: 3 753 тонн</w:t>
        <w:br/>
        <w:t>Удобрение из навоза кролика: 43 800 тонн</w:t>
        <w:br/>
        <w:t>Планируемый ежедневный объем поставок: 19-20 тонн</w:t>
        <w:br/>
        <w:t>Цены реализации:</w:t>
        <w:br/>
        <w:t>Мясо кролика на внутренний рынок: 560 рублей за кг</w:t>
        <w:br/>
        <w:t>Распределение продукции:</w:t>
        <w:br/>
        <w:t>100% будет реализовано на внутреннем рынке</w:t>
      </w:r>
    </w:p>
    <w:p>
      <w:pPr>
        <w:pStyle w:val="Heading2"/>
      </w:pPr>
      <w:r>
        <w:t>Источник: teo-rag-out/kpi.json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teo-rag-out/kpi.json:1–95</w:t>
      </w:r>
    </w:p>
    <w:p>
      <w:r>
        <w:t>{}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