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2E"/>
          <w:sz w:val="36"/>
        </w:rPr>
        <w:t>ПТИЦЕВОДЧЕСКИЙ КОМПЛЕКС «НОВА-АГРО»</w:t>
      </w:r>
    </w:p>
    <w:p>
      <w:pPr>
        <w:jc w:val="center"/>
      </w:pPr>
      <w:r>
        <w:rPr>
          <w:rFonts w:ascii="Arial" w:hAnsi="Arial"/>
          <w:b/>
          <w:sz w:val="26"/>
        </w:rPr>
        <w:t>ЗАТРАТЫ НА СОДЕРЖАНИЕ, ОРГАНИЗАЦИОННАЯ СТРУКТУРА И ШТАТНОЕ РАСПИСАНИЕ</w:t>
      </w:r>
    </w:p>
    <w:p>
      <w:pPr>
        <w:jc w:val="center"/>
      </w:pPr>
      <w:r>
        <w:rPr>
          <w:rFonts w:ascii="Arial" w:hAnsi="Arial"/>
          <w:i/>
          <w:sz w:val="20"/>
        </w:rPr>
        <w:t>Запорожская область · ООО «Нова-Агро — Птицеводство» · CAPEX 12 000 млн ₽ · июнь 2026</w:t>
      </w:r>
    </w:p>
    <w:p/>
    <w:p>
      <w:pPr>
        <w:pStyle w:val="Heading1"/>
      </w:pPr>
      <w:r>
        <w:rPr>
          <w:rFonts w:ascii="Arial" w:hAnsi="Arial"/>
          <w:color w:val="1F4E2E"/>
        </w:rPr>
        <w:t>1. Эксплуатационные затраты (OPEX) при полной мощности</w:t>
      </w:r>
    </w:p>
    <w:p>
      <w:pPr>
        <w:jc w:val="both"/>
      </w:pPr>
      <w:r>
        <w:rPr>
          <w:rFonts w:ascii="Arial" w:hAnsi="Arial"/>
          <w:i w:val="0"/>
          <w:sz w:val="22"/>
        </w:rPr>
        <w:t>Расчёт затрат выполнен на год выхода комплекса на полную проектную мощность. Цены и нормативы — актуальные по РФ на II квартал 2026 года (консервативная оценка). Крупнейшая статья — корма, что типично для птицеводства (60–70% себестоимости); за счёт собственного комбикормового завода холдинга корм обходится по себестоимости ~28 000 ₽/т.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Статья затрат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Сумма, млн ₽/год</w:t>
            </w:r>
          </w:p>
        </w:tc>
        <w:tc>
          <w:tcPr>
            <w:tcW w:type="dxa" w:w="113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Доля</w:t>
            </w:r>
          </w:p>
        </w:tc>
        <w:tc>
          <w:tcPr>
            <w:tcW w:type="dxa" w:w="255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Корма (≈66,7 тыс. т × 28 000 ₽/т)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1 868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52,0%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собственный комбикормовый завод холдинга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Суточный молодняк, инкуб. яйцо, ремонт стада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280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7,8%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воспроизводство и закупка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ФОТ с отчислениями (страховые ~30%)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520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14,5%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см. штатное расписание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Ветпрепараты, вакцины, биозащита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2,1%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эпизоотический план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Электроэнергия (покупная)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250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7,0%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за вычетом собств. биогаз-генерации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Упаковка (мясо + яйцо)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190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5,3%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вакуум, лоток, маркировка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Ремонт и ТО оборудования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240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6,7%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≈2% от стоимости оборудования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Транспорт и логистика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1,7%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рефрижераторная доставка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Общехозяйственные и прочие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sz w:val="17"/>
              </w:rPr>
              <w:t>3,1%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17"/>
              </w:rPr>
              <w:t>связь, охрана, страхование, налоги на имущество</w:t>
            </w:r>
          </w:p>
        </w:tc>
      </w:tr>
      <w:tr>
        <w:tc>
          <w:tcPr>
            <w:tcW w:type="dxa" w:w="3685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OPEX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3 593</w:t>
            </w:r>
          </w:p>
        </w:tc>
        <w:tc>
          <w:tcPr>
            <w:tcW w:type="dxa" w:w="113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100%</w:t>
            </w:r>
          </w:p>
        </w:tc>
        <w:tc>
          <w:tcPr>
            <w:tcW w:type="dxa" w:w="255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</w:r>
          </w:p>
        </w:tc>
      </w:tr>
    </w:tbl>
    <w:p>
      <w:pPr>
        <w:jc w:val="both"/>
      </w:pPr>
      <w:r>
        <w:rPr>
          <w:rFonts w:ascii="Arial" w:hAnsi="Arial"/>
          <w:i/>
          <w:sz w:val="22"/>
        </w:rPr>
        <w:t>Связь с экономикой: при выручке ≈5 034 млн ₽/год и OPEX ≈3 593 млн ₽/год EBITDA составляет ≈1 441 млн ₽/год (маржа 28,6%), простая окупаемость CAPEX — ≈8,3 года. Детальные расчёты — в файле «Финмодель птицекомплекса (12 млрд).xlsx».</w:t>
      </w:r>
    </w:p>
    <w:p>
      <w:pPr>
        <w:pStyle w:val="Heading1"/>
      </w:pPr>
      <w:r>
        <w:rPr>
          <w:rFonts w:ascii="Arial" w:hAnsi="Arial"/>
          <w:color w:val="1F4E2E"/>
        </w:rPr>
        <w:t>2. Принципы организации и численность персонала</w:t>
      </w:r>
    </w:p>
    <w:p>
      <w:pPr>
        <w:jc w:val="both"/>
      </w:pPr>
      <w:r>
        <w:rPr>
          <w:rFonts w:ascii="Arial" w:hAnsi="Arial"/>
          <w:i w:val="0"/>
          <w:sz w:val="22"/>
        </w:rPr>
        <w:t>Птицеводство — отдельная бизнес-единица холдинга: ООО «Нова-Агро — Птицеводство» с собственным директором, бухгалтерией и P&amp;L, под управлением управляющей компании и функциональных директоров холдинга. Часть функций (сбыт-экспорт, крупные закупки, казначейство, кадровое администрирование) опирается на общие службы холдинга, что снижает накладные расходы бизнес-единицы.</w:t>
      </w:r>
    </w:p>
    <w:p>
      <w:pPr>
        <w:jc w:val="both"/>
      </w:pPr>
      <w:r>
        <w:rPr>
          <w:rFonts w:ascii="Arial" w:hAnsi="Arial"/>
          <w:i w:val="0"/>
          <w:sz w:val="22"/>
        </w:rPr>
        <w:t>Режим работы основного производства — сменный, круглогодичный; убой и переработка — в одну-две смены под план отгрузок. Уровень оплаты ориентирован на средние значения по АПК РФ (на конец 2025 г. — свыше 80 тыс. ₽/мес. с учётом крупных агрохолдингов и управленческого персонала).</w:t>
      </w:r>
    </w:p>
    <w:p>
      <w:pPr>
        <w:pStyle w:val="Heading1"/>
      </w:pPr>
      <w:r>
        <w:rPr>
          <w:rFonts w:ascii="Arial" w:hAnsi="Arial"/>
          <w:color w:val="1F4E2E"/>
        </w:rPr>
        <w:t>3. Организационная структура ООО «Нова-Агро — Птицеводство»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368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Подразделение</w:t>
            </w:r>
          </w:p>
        </w:tc>
        <w:tc>
          <w:tcPr>
            <w:tcW w:type="dxa" w:w="3402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Функции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Руководство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Директор бизнес-единицы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Общее руководство, P&amp;L, взаимодействие с УК холдинга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Зам. директора по производству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Птичники, инкубаторий, переработка, графики оборотов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Главные специалисты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ветеринарный врач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Биобезопасность, ветслужба, лаборатория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инженер / энергетик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Инженерные сети, энергоцентр, ремонт, SCADA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технолог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Технологии выращивания, кормление, качество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бухгалтер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Учёт, отчётность, налоги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Производство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Цех бройлера; цех несушки; цех индейки/утки/гуся; цех перепела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Выращивание и откорм по видам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Инкубаторий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Воспроизводство суточного молодняка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Переработка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Убойно-перерабатывающий цех; цех упаковки; цех сортировки яйца; холодсклад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Убой, разделка, фасовка, хранение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Обеспечение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Кормовая служба; ветслужба; инженерно-энергетическая служба; транспорт; биозащита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Ресурсы и инфраструктура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Управление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b w:val="0"/>
                <w:sz w:val="17"/>
              </w:rPr>
              <w:t>Бухгалтерия/экономика; снабжение; сбыт; кадры; ОТ и экология; IT/АСУ; АХО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17"/>
              </w:rPr>
              <w:t>Администрирование бизнес-единицы</w:t>
            </w:r>
          </w:p>
        </w:tc>
      </w:tr>
    </w:tbl>
    <w:p>
      <w:pPr>
        <w:jc w:val="both"/>
      </w:pPr>
      <w:r>
        <w:rPr>
          <w:rFonts w:ascii="Arial" w:hAnsi="Arial"/>
          <w:i/>
          <w:sz w:val="22"/>
        </w:rPr>
        <w:t>Примечание: позиция «заместитель директора по переработке» в штат не вводится — переработка курируется заместителем директора по производству. Начальники структурных подразделений (цехов выращивания, инкубатория, убойно-перерабатывающего цеха, склада/логистики, кормовой службы) выведены на единый оклад 220 000 ₽/мес.</w:t>
      </w:r>
    </w:p>
    <w:p>
      <w:pPr>
        <w:pStyle w:val="Heading1"/>
      </w:pPr>
      <w:r>
        <w:rPr>
          <w:rFonts w:ascii="Arial" w:hAnsi="Arial"/>
          <w:color w:val="1F4E2E"/>
        </w:rPr>
        <w:t>4. Штатное расписание</w:t>
      </w:r>
    </w:p>
    <w:p>
      <w:pPr>
        <w:jc w:val="both"/>
      </w:pPr>
      <w:r>
        <w:rPr>
          <w:rFonts w:ascii="Arial" w:hAnsi="Arial"/>
          <w:i w:val="0"/>
          <w:sz w:val="22"/>
        </w:rPr>
        <w:t>Оклады приведены как среднемесячные базовые (gross). Годовой ФОТ = оклад × 12 × численность; страховые отчисления приняты на уровне ~30% сверх ФОТ.</w:t>
      </w:r>
    </w:p>
    <w:p>
      <w:pPr>
        <w:pStyle w:val="Heading2"/>
      </w:pPr>
      <w:r>
        <w:rPr>
          <w:rFonts w:ascii="Arial" w:hAnsi="Arial"/>
          <w:color w:val="1F4E2E"/>
        </w:rPr>
        <w:t>Руководство и управление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Директор бизнес-единицы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1 200 000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14.4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Заместитель директора по производству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400 000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4.8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ветеринарный врач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178 800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инженер / энергетик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174 100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технолог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164 700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Главный бухгалтер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400 000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4.8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Бухгалтер / экономист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89 400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6.4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Специалист по снабжению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84 700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4.1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Менеджер по сбыту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94 100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5.6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Специалист IT / АСУ (SCADA)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108 200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5.2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Специалист по охране труда и экологии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89 400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Кадры / делопроизводство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70 600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АХО, секретариат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51 800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2.5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34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58.7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Производство — выращивание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Начальник цеха выращивания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220 000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10.6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Бригадир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98 800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11.9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Птицевод-оператор (бройлер)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70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58 358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49.0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Птицевод-оператор (несушка)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58 400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9.8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Птицевод-оператор (индейка/утка/гусь)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56 500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17.6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перепелиных модулей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56 500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6.8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Подсобный рабочий птичников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43 300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10.4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154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116.0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Инкубаторий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Начальник инкубатория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220 000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инкубатория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62 100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11.9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Сортировщик / вакцинатор молодняка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51 800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3.7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23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18.3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Убой и переработка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Начальник убойно-перераб. цеха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220 000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5.3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Технолог переработки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94 100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6.8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убойной линии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56 500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40.7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Обвальщик / жиловщик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65 900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19.0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упаковки и маркировки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48 900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14.1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цеха сортировки яйца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48 900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5.9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126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91.7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Холод, склад, логистика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Начальник склада / логистики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220 000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5.3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холодильного склада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56 500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8.1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Кладовщик / комплектовщик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48 900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3.5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Водитель (рефрижератор, спецтехника)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64 000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12.3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36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29.2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Ветслужба и биозащита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Ветеринарный врач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113 000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13.6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Ветеринарный фельдшер / лаборант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64 000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7.7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санпропускника / дезслужбы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43 300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4.2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25.4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Корма и инженерно-энергетическая служба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Начальник кормовой службы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220 000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2.6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Оператор склада кормов / силосов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54 600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6.6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Энергетик / оператор биогаз-ГПУ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77 200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9.3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Слесарь-ремонтник / КИПиА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65 900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14.2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Электромонтёр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64 000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6.1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47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38.8</w:t>
            </w:r>
          </w:p>
        </w:tc>
      </w:tr>
    </w:tbl>
    <w:p>
      <w:pPr>
        <w:pStyle w:val="Heading2"/>
      </w:pPr>
      <w:r>
        <w:rPr>
          <w:rFonts w:ascii="Arial" w:hAnsi="Arial"/>
          <w:color w:val="1F4E2E"/>
        </w:rPr>
        <w:t>Охрана и обслуживание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819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Должность</w:t>
            </w:r>
          </w:p>
        </w:tc>
        <w:tc>
          <w:tcPr>
            <w:tcW w:type="dxa" w:w="1247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Шт. ед.</w:t>
            </w:r>
          </w:p>
        </w:tc>
        <w:tc>
          <w:tcPr>
            <w:tcW w:type="dxa" w:w="1814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Оклад, ₽/мес.</w:t>
            </w:r>
          </w:p>
        </w:tc>
        <w:tc>
          <w:tcPr>
            <w:tcW w:type="dxa" w:w="1701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ФОТ, млн ₽/год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Сотрудник службы охраны / КПП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48 900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8.2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b w:val="0"/>
                <w:sz w:val="17"/>
              </w:rPr>
              <w:t>Уборщик производственных помещений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sz w:val="17"/>
              </w:rPr>
              <w:t>39 500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7"/>
              </w:rPr>
              <w:t>6.6</w:t>
            </w:r>
          </w:p>
        </w:tc>
      </w:tr>
      <w:tr>
        <w:tc>
          <w:tcPr>
            <w:tcW w:type="dxa" w:w="4819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Итого по блоку</w:t>
            </w:r>
          </w:p>
        </w:tc>
        <w:tc>
          <w:tcPr>
            <w:tcW w:type="dxa" w:w="1247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1814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701"/>
            <w:shd w:fill="D9E5DC"/>
          </w:tcPr>
          <w:p>
            <w:r/>
            <w:r>
              <w:rPr>
                <w:rFonts w:ascii="Arial" w:hAnsi="Arial"/>
                <w:b/>
                <w:sz w:val="17"/>
              </w:rPr>
              <w:t>14.9</w:t>
            </w:r>
          </w:p>
        </w:tc>
      </w:tr>
    </w:tbl>
    <w:p>
      <w:pPr>
        <w:pStyle w:val="Heading1"/>
      </w:pPr>
      <w:r>
        <w:rPr>
          <w:rFonts w:ascii="Arial" w:hAnsi="Arial"/>
          <w:color w:val="1F4E2E"/>
        </w:rPr>
        <w:t>5. Сводка по персоналу и фонду оплаты труда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2835"/>
            <w:shd w:fill="1F4E2E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7"/>
              </w:rPr>
              <w:t>Всего штатных единиц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7"/>
              </w:rPr>
              <w:t>476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7"/>
              </w:rPr>
              <w:t>ФОТ (базовый), млн ₽/год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7"/>
              </w:rPr>
              <w:t>393.0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7"/>
              </w:rPr>
              <w:t>Страховые отчисления ~30%, млн ₽/год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7"/>
              </w:rPr>
              <w:t>117.9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7"/>
              </w:rPr>
              <w:t>ФОТ с отчислениями, млн ₽/год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7"/>
              </w:rPr>
              <w:t>511.0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7"/>
              </w:rPr>
              <w:t>Средний оклад (база), ₽/мес.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7"/>
              </w:rPr>
              <w:t>68 810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b w:val="0"/>
                <w:sz w:val="17"/>
              </w:rPr>
              <w:t>ФОТ с отчислениями в OPEX, млн ₽/год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 w:val="0"/>
                <w:sz w:val="17"/>
              </w:rPr>
              <w:t>520 (принято в модели)</w:t>
            </w:r>
          </w:p>
        </w:tc>
      </w:tr>
    </w:tbl>
    <w:p>
      <w:pPr>
        <w:jc w:val="both"/>
      </w:pPr>
      <w:r>
        <w:rPr>
          <w:rFonts w:ascii="Arial" w:hAnsi="Arial"/>
          <w:i/>
          <w:sz w:val="22"/>
        </w:rPr>
        <w:t>Внесённые изменения: оклад директора повышен до 1 200 000 ₽/мес.; главного бухгалтера — до 400 000 ₽/мес.; начальникам структурных подразделений установлен единый оклад 220 000 ₽/мес.; позиция заместителя директора по переработке исключена. Для сохранения общего ФОТ неизменным компенсация выполнена комбинированно: численность подсобного и линейного персонала сокращена на 6 единиц, а оклады остальных сотрудников равномерно скорректированы. Итоговый годовой ФОТ совпадает с исходным (≈393,0 млн ₽ базовый / ≈511 млн ₽ с отчислениями).</w:t>
      </w:r>
    </w:p>
    <w:p>
      <w:pPr>
        <w:pStyle w:val="Heading1"/>
      </w:pPr>
      <w:r>
        <w:rPr>
          <w:rFonts w:ascii="Arial" w:hAnsi="Arial"/>
          <w:color w:val="1F4E2E"/>
        </w:rPr>
        <w:t>6. Социальный эффект</w:t>
      </w:r>
    </w:p>
    <w:p>
      <w:pPr>
        <w:jc w:val="both"/>
      </w:pPr>
      <w:r>
        <w:rPr>
          <w:rFonts w:ascii="Arial" w:hAnsi="Arial"/>
          <w:i w:val="0"/>
          <w:sz w:val="22"/>
        </w:rPr>
        <w:t>Комплекс создаёт 476 постоянных рабочих мест в Запорожской области, преимущественно в сельской местности, со средним уровнем оплаты выше регионального. Дополнительно формируются косвенные рабочие места в логистике, обслуживании и смежных производствах холдинга. Налоговые поступления — НДФЛ, страховые взносы, ЕСХН, имущественные налоги.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