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T01. Финансы блока</w:t>
      </w:r>
    </w:p>
    <w:p>
      <w:pPr>
        <w:jc w:val="center"/>
      </w:pPr>
      <w:r>
        <w:rPr>
          <w:i/>
          <w:sz w:val="20"/>
        </w:rPr>
        <w:t>Проект «МОЯ МЕЧТА» | птицеводство draft | 2026-06-26</w:t>
      </w:r>
    </w:p>
    <w:p/>
    <w:p>
      <w:pPr>
        <w:pStyle w:val="Heading1"/>
      </w:pPr>
      <w:r>
        <w:t>Действие</w:t>
      </w:r>
    </w:p>
    <w:p>
      <w:r>
        <w:t>action_on_replace: new</w:t>
      </w:r>
    </w:p>
    <w:p>
      <w:pPr>
        <w:pStyle w:val="Heading1"/>
      </w:pPr>
      <w:r>
        <w:t>Содержание</w:t>
      </w:r>
    </w:p>
    <w:p>
      <w:pPr>
        <w:pStyle w:val="Heading2"/>
      </w:pPr>
      <w:r>
        <w:t>Источник: docs/teo-poultry/T01-finance.md</w:t>
      </w:r>
    </w:p>
    <w:p>
      <w:r>
        <w:rPr>
          <w:rFonts w:ascii="Consolas" w:hAnsi="Consolas"/>
          <w:color w:val="1A568E"/>
          <w:sz w:val="18"/>
        </w:rPr>
        <w:t>↳ docs/teo-poultry/T01-finance.md</w:t>
      </w:r>
    </w:p>
    <w:p>
      <w:pPr>
        <w:pStyle w:val="Heading2"/>
      </w:pPr>
      <w:r>
        <w:t>T01. Финансы блока (птицеводство)</w:t>
      </w:r>
    </w:p>
    <w:p>
      <w:r>
        <w:rPr>
          <w:i/>
        </w:rPr>
        <w:t>Источники: `_incoming/finmodel-pticekompleks-12-mlrd.xlsx`, `appendix/finmodel-summary.md`, `appendix/financing-structure.md`</w:t>
      </w:r>
    </w:p>
    <w:p>
      <w:pPr>
        <w:pStyle w:val="Heading3"/>
      </w:pPr>
      <w:r>
        <w:t>Канонические показатели (полная мощность)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Источник</w:t>
            </w:r>
          </w:p>
        </w:tc>
      </w:tr>
      <w:tr>
        <w:tc>
          <w:tcPr>
            <w:tcW w:type="dxa" w:w="2880"/>
          </w:tcPr>
          <w:p>
            <w:r>
              <w:t>CAPEX</w:t>
            </w:r>
          </w:p>
        </w:tc>
        <w:tc>
          <w:tcPr>
            <w:tcW w:type="dxa" w:w="2880"/>
          </w:tcPr>
          <w:p>
            <w:r>
              <w:t>**12 000 млн ₽**</w:t>
            </w:r>
          </w:p>
        </w:tc>
        <w:tc>
          <w:tcPr>
            <w:tcW w:type="dxa" w:w="2880"/>
          </w:tcPr>
          <w:p>
            <w:r>
              <w:t>лист «CAPEX», «Экономика»</w:t>
            </w:r>
          </w:p>
        </w:tc>
      </w:tr>
      <w:tr>
        <w:tc>
          <w:tcPr>
            <w:tcW w:type="dxa" w:w="2880"/>
          </w:tcPr>
          <w:p>
            <w:r>
              <w:t>Выручка</w:t>
            </w:r>
          </w:p>
        </w:tc>
        <w:tc>
          <w:tcPr>
            <w:tcW w:type="dxa" w:w="2880"/>
          </w:tcPr>
          <w:p>
            <w:r>
              <w:t>**5 559 млн ₽/год**</w:t>
            </w:r>
          </w:p>
        </w:tc>
        <w:tc>
          <w:tcPr>
            <w:tcW w:type="dxa" w:w="2880"/>
          </w:tcPr>
          <w:p>
            <w:r>
              <w:t>5 034 + **525,6** удобрение (эталон кроликов tab#205)</w:t>
            </w:r>
          </w:p>
        </w:tc>
      </w:tr>
      <w:tr>
        <w:tc>
          <w:tcPr>
            <w:tcW w:type="dxa" w:w="2880"/>
          </w:tcPr>
          <w:p>
            <w:r>
              <w:t>OPEX</w:t>
            </w:r>
          </w:p>
        </w:tc>
        <w:tc>
          <w:tcPr>
            <w:tcW w:type="dxa" w:w="2880"/>
          </w:tcPr>
          <w:p>
            <w:r>
              <w:t>**3 343 млн ₽/год**</w:t>
            </w:r>
          </w:p>
        </w:tc>
        <w:tc>
          <w:tcPr>
            <w:tcW w:type="dxa" w:w="2880"/>
          </w:tcPr>
          <w:p>
            <w:r>
              <w:t>без покупного электро (эталон кроликов)</w:t>
            </w:r>
          </w:p>
        </w:tc>
      </w:tr>
      <w:tr>
        <w:tc>
          <w:tcPr>
            <w:tcW w:type="dxa" w:w="2880"/>
          </w:tcPr>
          <w:p>
            <w:r>
              <w:t>EBITDA</w:t>
            </w:r>
          </w:p>
        </w:tc>
        <w:tc>
          <w:tcPr>
            <w:tcW w:type="dxa" w:w="2880"/>
          </w:tcPr>
          <w:p>
            <w:r>
              <w:t>**2 216 млн ₽/год**</w:t>
            </w:r>
          </w:p>
        </w:tc>
        <w:tc>
          <w:tcPr>
            <w:tcW w:type="dxa" w:w="2880"/>
          </w:tcPr>
          <w:p>
            <w:r>
              <w:t>маржа **~39,9%**</w:t>
            </w:r>
          </w:p>
        </w:tc>
      </w:tr>
      <w:tr>
        <w:tc>
          <w:tcPr>
            <w:tcW w:type="dxa" w:w="2880"/>
          </w:tcPr>
          <w:p>
            <w:r>
              <w:t>Простая окупаемость</w:t>
            </w:r>
          </w:p>
        </w:tc>
        <w:tc>
          <w:tcPr>
            <w:tcW w:type="dxa" w:w="2880"/>
          </w:tcPr>
          <w:p>
            <w:r>
              <w:t>**~5,4 года**</w:t>
            </w:r>
          </w:p>
        </w:tc>
        <w:tc>
          <w:tcPr>
            <w:tcW w:type="dxa" w:w="2880"/>
          </w:tcPr>
          <w:p>
            <w:r>
              <w:t>CAPEX / EBITDA</w:t>
            </w:r>
          </w:p>
        </w:tc>
      </w:tr>
      <w:tr>
        <w:tc>
          <w:tcPr>
            <w:tcW w:type="dxa" w:w="2880"/>
          </w:tcPr>
          <w:p>
            <w:r>
              <w:t>Окупаемость по ден. потоку</w:t>
            </w:r>
          </w:p>
        </w:tc>
        <w:tc>
          <w:tcPr>
            <w:tcW w:type="dxa" w:w="2880"/>
          </w:tcPr>
          <w:p>
            <w:r>
              <w:t>**~5,6 года**</w:t>
            </w:r>
          </w:p>
        </w:tc>
        <w:tc>
          <w:tcPr>
            <w:tcW w:type="dxa" w:w="2880"/>
          </w:tcPr>
          <w:p>
            <w:r>
              <w:t>ЧП + амортизация</w:t>
            </w:r>
          </w:p>
        </w:tc>
      </w:tr>
      <w:tr>
        <w:tc>
          <w:tcPr>
            <w:tcW w:type="dxa" w:w="2880"/>
          </w:tcPr>
          <w:p>
            <w:r>
              <w:t>Чистая прибыль</w:t>
            </w:r>
          </w:p>
        </w:tc>
        <w:tc>
          <w:tcPr>
            <w:tcW w:type="dxa" w:w="2880"/>
          </w:tcPr>
          <w:p>
            <w:r>
              <w:t>**≈955 млн ₽/год**</w:t>
            </w:r>
          </w:p>
        </w:tc>
        <w:tc>
          <w:tcPr>
            <w:tcW w:type="dxa" w:w="2880"/>
          </w:tcPr>
          <w:p>
            <w:r>
              <w:t>после ЕСХН 6%</w:t>
            </w:r>
          </w:p>
        </w:tc>
      </w:tr>
      <w:tr>
        <w:tc>
          <w:tcPr>
            <w:tcW w:type="dxa" w:w="2880"/>
          </w:tcPr>
          <w:p>
            <w:r>
              <w:t>Амортизация</w:t>
            </w:r>
          </w:p>
        </w:tc>
        <w:tc>
          <w:tcPr>
            <w:tcW w:type="dxa" w:w="2880"/>
          </w:tcPr>
          <w:p>
            <w:r>
              <w:t>1 200 млн ₽/год</w:t>
            </w:r>
          </w:p>
        </w:tc>
        <w:tc>
          <w:tcPr>
            <w:tcW w:type="dxa" w:w="2880"/>
          </w:tcPr>
          <w:p>
            <w:r>
              <w:t>10 лет, линейно</w:t>
            </w:r>
          </w:p>
        </w:tc>
      </w:tr>
    </w:tbl>
    <w:p>
      <w:r>
        <w:rPr>
          <w:i/>
        </w:rPr>
        <w:t>Эталон baseline: `appendix/baseline-finmodel-adopted.md`, `energy-budget.yaml`.</w:t>
      </w:r>
    </w:p>
    <w:p>
      <w:pPr>
        <w:pStyle w:val="Heading3"/>
      </w:pPr>
      <w:r>
        <w:t>NPV / IRR</w:t>
      </w:r>
    </w:p>
    <w:p>
      <w:r>
        <w:rPr>
          <w:i/>
        </w:rPr>
        <w:t>**Политика DCF:** канон **16 лет** (2026–2041). Сравнение с baseline tab#7 (10 лет) — [`appendix/dcf-policy.md`](appendix/dcf-policy.md).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Условия</w:t>
            </w:r>
          </w:p>
        </w:tc>
      </w:tr>
      <w:tr>
        <w:tc>
          <w:tcPr>
            <w:tcW w:type="dxa" w:w="2880"/>
          </w:tcPr>
          <w:p>
            <w:r>
              <w:t>**NPV @ 10%**</w:t>
            </w:r>
          </w:p>
        </w:tc>
        <w:tc>
          <w:tcPr>
            <w:tcW w:type="dxa" w:w="2880"/>
          </w:tcPr>
          <w:p>
            <w:r>
              <w:t>**+2 253 млн ₽**</w:t>
            </w:r>
          </w:p>
        </w:tc>
        <w:tc>
          <w:tcPr>
            <w:tcW w:type="dxa" w:w="2880"/>
          </w:tcPr>
          <w:p>
            <w:r>
              <w:t>**Канон:** DCF 16 лет, finmodel «NPV-IRR»</w:t>
            </w:r>
          </w:p>
        </w:tc>
      </w:tr>
      <w:tr>
        <w:tc>
          <w:tcPr>
            <w:tcW w:type="dxa" w:w="2880"/>
          </w:tcPr>
          <w:p>
            <w:r>
              <w:t>**IRR**</w:t>
            </w:r>
          </w:p>
        </w:tc>
        <w:tc>
          <w:tcPr>
            <w:tcW w:type="dxa" w:w="2880"/>
          </w:tcPr>
          <w:p>
            <w:r>
              <w:t>**≈12,8%**</w:t>
            </w:r>
          </w:p>
        </w:tc>
        <w:tc>
          <w:tcPr>
            <w:tcW w:type="dxa" w:w="2880"/>
          </w:tcPr>
          <w:p>
            <w:r>
              <w:t>те же допущения</w:t>
            </w:r>
          </w:p>
        </w:tc>
      </w:tr>
      <w:tr>
        <w:tc>
          <w:tcPr>
            <w:tcW w:type="dxa" w:w="2880"/>
          </w:tcPr>
          <w:p>
            <w:r>
              <w:t>**PI**</w:t>
            </w:r>
          </w:p>
        </w:tc>
        <w:tc>
          <w:tcPr>
            <w:tcW w:type="dxa" w:w="2880"/>
          </w:tcPr>
          <w:p>
            <w:r>
              <w:t>**≈1,19**</w:t>
            </w:r>
          </w:p>
        </w:tc>
        <w:tc>
          <w:tcPr>
            <w:tcW w:type="dxa" w:w="2880"/>
          </w:tcPr>
          <w:p>
            <w:r>
              <w:t>NPV/CAPEX + 1</w:t>
            </w:r>
          </w:p>
        </w:tc>
      </w:tr>
    </w:tbl>
    <w:p>
      <w:pPr>
        <w:pStyle w:val="Heading4"/>
      </w:pPr>
      <w:r>
        <w:t>Сравнение горизонтов (та же модель, @ 10%)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Горизонт</w:t>
            </w:r>
          </w:p>
        </w:tc>
        <w:tc>
          <w:tcPr>
            <w:tcW w:type="dxa" w:w="2160"/>
          </w:tcPr>
          <w:p>
            <w:r>
              <w:t>NPV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</w:tr>
      <w:tr>
        <w:tc>
          <w:tcPr>
            <w:tcW w:type="dxa" w:w="2160"/>
          </w:tcPr>
          <w:p>
            <w:r>
              <w:t>**16 лет** (канон)</w:t>
            </w:r>
          </w:p>
        </w:tc>
        <w:tc>
          <w:tcPr>
            <w:tcW w:type="dxa" w:w="2160"/>
          </w:tcPr>
          <w:p>
            <w:r>
              <w:t>**+2 253**</w:t>
            </w:r>
          </w:p>
        </w:tc>
        <w:tc>
          <w:tcPr>
            <w:tcW w:type="dxa" w:w="2160"/>
          </w:tcPr>
          <w:p>
            <w:r>
              <w:t>**12,8%**</w:t>
            </w:r>
          </w:p>
        </w:tc>
        <w:tc>
          <w:tcPr>
            <w:tcW w:type="dxa" w:w="2160"/>
          </w:tcPr>
          <w:p>
            <w:r>
              <w:t>KPI блока, master §11</w:t>
            </w:r>
          </w:p>
        </w:tc>
      </w:tr>
      <w:tr>
        <w:tc>
          <w:tcPr>
            <w:tcW w:type="dxa" w:w="2160"/>
          </w:tcPr>
          <w:p>
            <w:r>
              <w:t>10 лет (как tab#7)</w:t>
            </w:r>
          </w:p>
        </w:tc>
        <w:tc>
          <w:tcPr>
            <w:tcW w:type="dxa" w:w="2160"/>
          </w:tcPr>
          <w:p>
            <w:r>
              <w:t>**−1 728**</w:t>
            </w:r>
          </w:p>
        </w:tc>
        <w:tc>
          <w:tcPr>
            <w:tcW w:type="dxa" w:w="2160"/>
          </w:tcPr>
          <w:p>
            <w:r>
              <w:t>**6,7%**</w:t>
            </w:r>
          </w:p>
        </w:tc>
        <w:tc>
          <w:tcPr>
            <w:tcW w:type="dxa" w:w="2160"/>
          </w:tcPr>
          <w:p>
            <w:r>
              <w:t>stress / parity с baseline docx</w:t>
            </w:r>
          </w:p>
        </w:tc>
      </w:tr>
    </w:tbl>
    <w:p>
      <w:r>
        <w:t>Детали: `appendix/npv-irr-derived.md`.</w:t>
      </w:r>
    </w:p>
    <w:p>
      <w:r>
        <w:rPr>
          <w:i/>
        </w:rPr>
        <w:t>**Review-pass R-02:** NPV/IRR считаются только по выручке блока **5 559 млн ₽**. Экспорт Tab#5 **10 208 млн ₽** — consolidated APK, **не в DCF блока**.</w:t>
      </w:r>
    </w:p>
    <w:p>
      <w:pPr>
        <w:pStyle w:val="Heading3"/>
      </w:pPr>
      <w:r>
        <w:t>Финансирование (12 000 млн 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Источник</w:t>
            </w:r>
          </w:p>
        </w:tc>
        <w:tc>
          <w:tcPr>
            <w:tcW w:type="dxa" w:w="2880"/>
          </w:tcPr>
          <w:p>
            <w:r>
              <w:t>млн ₽</w:t>
            </w:r>
          </w:p>
        </w:tc>
        <w:tc>
          <w:tcPr>
            <w:tcW w:type="dxa" w:w="2880"/>
          </w:tcPr>
          <w:p>
            <w:r>
              <w:t>Доля</w:t>
            </w:r>
          </w:p>
        </w:tc>
      </w:tr>
      <w:tr>
        <w:tc>
          <w:tcPr>
            <w:tcW w:type="dxa" w:w="2880"/>
          </w:tcPr>
          <w:p>
            <w:r>
              <w:t>ФНБ (доля)</w:t>
            </w:r>
          </w:p>
        </w:tc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РАЛ (оборудование)</w:t>
            </w:r>
          </w:p>
        </w:tc>
        <w:tc>
          <w:tcPr>
            <w:tcW w:type="dxa" w:w="2880"/>
          </w:tcPr>
          <w:p>
            <w:r>
              <w:t>2 340</w:t>
            </w:r>
          </w:p>
        </w:tc>
        <w:tc>
          <w:tcPr>
            <w:tcW w:type="dxa" w:w="2880"/>
          </w:tcPr>
          <w:p>
            <w:r>
              <w:t>19,5%</w:t>
            </w:r>
          </w:p>
        </w:tc>
      </w:tr>
      <w:tr>
        <w:tc>
          <w:tcPr>
            <w:tcW w:type="dxa" w:w="2880"/>
          </w:tcPr>
          <w:p>
            <w:r>
              <w:t>ФРП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— (ККЗ вне блока)</w:t>
            </w:r>
          </w:p>
        </w:tc>
      </w:tr>
      <w:tr>
        <w:tc>
          <w:tcPr>
            <w:tcW w:type="dxa" w:w="2880"/>
          </w:tcPr>
          <w:p>
            <w:r>
              <w:t>Банки</w:t>
            </w:r>
          </w:p>
        </w:tc>
        <w:tc>
          <w:tcPr>
            <w:tcW w:type="dxa" w:w="2880"/>
          </w:tcPr>
          <w:p>
            <w:r>
              <w:t>9 060</w:t>
            </w:r>
          </w:p>
        </w:tc>
        <w:tc>
          <w:tcPr>
            <w:tcW w:type="dxa" w:w="2880"/>
          </w:tcPr>
          <w:p>
            <w:r>
              <w:t>75,5%</w:t>
            </w:r>
          </w:p>
        </w:tc>
      </w:tr>
      <w:tr>
        <w:tc>
          <w:tcPr>
            <w:tcW w:type="dxa" w:w="2880"/>
          </w:tcPr>
          <w:p>
            <w:r>
              <w:t>**Итого**</w:t>
            </w:r>
          </w:p>
        </w:tc>
        <w:tc>
          <w:tcPr>
            <w:tcW w:type="dxa" w:w="2880"/>
          </w:tcPr>
          <w:p>
            <w:r>
              <w:t>**12 000**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>
        <w:t>Детали: лист «Финансирование» xlsx, `appendix/financing-structure.md`.</w:t>
      </w:r>
    </w:p>
    <w:p>
      <w:pPr>
        <w:pStyle w:val="Heading3"/>
      </w:pPr>
      <w:r>
        <w:t>Цены реализации (II кв. 2026, консервативно)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Продукт</w:t>
            </w:r>
          </w:p>
        </w:tc>
        <w:tc>
          <w:tcPr>
            <w:tcW w:type="dxa" w:w="4320"/>
          </w:tcPr>
          <w:p>
            <w:r>
              <w:t>Цена</w:t>
            </w:r>
          </w:p>
        </w:tc>
      </w:tr>
      <w:tr>
        <w:tc>
          <w:tcPr>
            <w:tcW w:type="dxa" w:w="4320"/>
          </w:tcPr>
          <w:p>
            <w:r>
              <w:t>Бройлер (тушка+разделка, халяль)</w:t>
            </w:r>
          </w:p>
        </w:tc>
        <w:tc>
          <w:tcPr>
            <w:tcW w:type="dxa" w:w="4320"/>
          </w:tcPr>
          <w:p>
            <w:r>
              <w:t>205 ₽/кг</w:t>
            </w:r>
          </w:p>
        </w:tc>
      </w:tr>
      <w:tr>
        <w:tc>
          <w:tcPr>
            <w:tcW w:type="dxa" w:w="4320"/>
          </w:tcPr>
          <w:p>
            <w:r>
              <w:t>Индейка</w:t>
            </w:r>
          </w:p>
        </w:tc>
        <w:tc>
          <w:tcPr>
            <w:tcW w:type="dxa" w:w="4320"/>
          </w:tcPr>
          <w:p>
            <w:r>
              <w:t>360 ₽/кг</w:t>
            </w:r>
          </w:p>
        </w:tc>
      </w:tr>
      <w:tr>
        <w:tc>
          <w:tcPr>
            <w:tcW w:type="dxa" w:w="4320"/>
          </w:tcPr>
          <w:p>
            <w:r>
              <w:t>Утка</w:t>
            </w:r>
          </w:p>
        </w:tc>
        <w:tc>
          <w:tcPr>
            <w:tcW w:type="dxa" w:w="4320"/>
          </w:tcPr>
          <w:p>
            <w:r>
              <w:t>320 ₽/кг</w:t>
            </w:r>
          </w:p>
        </w:tc>
      </w:tr>
      <w:tr>
        <w:tc>
          <w:tcPr>
            <w:tcW w:type="dxa" w:w="4320"/>
          </w:tcPr>
          <w:p>
            <w:r>
              <w:t>Гусь</w:t>
            </w:r>
          </w:p>
        </w:tc>
        <w:tc>
          <w:tcPr>
            <w:tcW w:type="dxa" w:w="4320"/>
          </w:tcPr>
          <w:p>
            <w:r>
              <w:t>480 ₽/кг</w:t>
            </w:r>
          </w:p>
        </w:tc>
      </w:tr>
      <w:tr>
        <w:tc>
          <w:tcPr>
            <w:tcW w:type="dxa" w:w="4320"/>
          </w:tcPr>
          <w:p>
            <w:r>
              <w:t>Перепёл (мясо)</w:t>
            </w:r>
          </w:p>
        </w:tc>
        <w:tc>
          <w:tcPr>
            <w:tcW w:type="dxa" w:w="4320"/>
          </w:tcPr>
          <w:p>
            <w:r>
              <w:t>450 ₽/кг</w:t>
            </w:r>
          </w:p>
        </w:tc>
      </w:tr>
      <w:tr>
        <w:tc>
          <w:tcPr>
            <w:tcW w:type="dxa" w:w="4320"/>
          </w:tcPr>
          <w:p>
            <w:r>
              <w:t>Куриное яйцо</w:t>
            </w:r>
          </w:p>
        </w:tc>
        <w:tc>
          <w:tcPr>
            <w:tcW w:type="dxa" w:w="4320"/>
          </w:tcPr>
          <w:p>
            <w:r>
              <w:t>7 ₽/шт</w:t>
            </w:r>
          </w:p>
        </w:tc>
      </w:tr>
      <w:tr>
        <w:tc>
          <w:tcPr>
            <w:tcW w:type="dxa" w:w="4320"/>
          </w:tcPr>
          <w:p>
            <w:r>
              <w:t>Удобрение (compost)</w:t>
            </w:r>
          </w:p>
        </w:tc>
        <w:tc>
          <w:tcPr>
            <w:tcW w:type="dxa" w:w="4320"/>
          </w:tcPr>
          <w:p>
            <w:r>
              <w:t>12 ₽/кг, 43 800 т/год</w:t>
            </w:r>
          </w:p>
        </w:tc>
      </w:tr>
    </w:tbl>
    <w:p>
      <w:pPr>
        <w:pStyle w:val="Heading3"/>
      </w:pPr>
      <w:r>
        <w:t>CAPEX-структура (крупные статьи)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Объект</w:t>
            </w:r>
          </w:p>
        </w:tc>
        <w:tc>
          <w:tcPr>
            <w:tcW w:type="dxa" w:w="4320"/>
          </w:tcPr>
          <w:p>
            <w:r>
              <w:t>млн ₽</w:t>
            </w:r>
          </w:p>
        </w:tc>
      </w:tr>
      <w:tr>
        <w:tc>
          <w:tcPr>
            <w:tcW w:type="dxa" w:w="4320"/>
          </w:tcPr>
          <w:p>
            <w:r>
              <w:t>Бройлерные птичники (80 шт.)</w:t>
            </w:r>
          </w:p>
        </w:tc>
        <w:tc>
          <w:tcPr>
            <w:tcW w:type="dxa" w:w="4320"/>
          </w:tcPr>
          <w:p>
            <w:r>
              <w:t>2 000</w:t>
            </w:r>
          </w:p>
        </w:tc>
      </w:tr>
      <w:tr>
        <w:tc>
          <w:tcPr>
            <w:tcW w:type="dxa" w:w="4320"/>
          </w:tcPr>
          <w:p>
            <w:r>
              <w:t>Убойно-перерабатывающий комплекс</w:t>
            </w:r>
          </w:p>
        </w:tc>
        <w:tc>
          <w:tcPr>
            <w:tcW w:type="dxa" w:w="4320"/>
          </w:tcPr>
          <w:p>
            <w:r>
              <w:t>2 600</w:t>
            </w:r>
          </w:p>
        </w:tc>
      </w:tr>
      <w:tr>
        <w:tc>
          <w:tcPr>
            <w:tcW w:type="dxa" w:w="4320"/>
          </w:tcPr>
          <w:p>
            <w:r>
              <w:t>Solar 10 МВт·ч</w:t>
            </w:r>
          </w:p>
        </w:tc>
        <w:tc>
          <w:tcPr>
            <w:tcW w:type="dxa" w:w="4320"/>
          </w:tcPr>
          <w:p>
            <w:r>
              <w:t>1 181</w:t>
            </w:r>
          </w:p>
        </w:tc>
      </w:tr>
      <w:tr>
        <w:tc>
          <w:tcPr>
            <w:tcW w:type="dxa" w:w="4320"/>
          </w:tcPr>
          <w:p>
            <w:r>
              <w:t>Холодильный склад 4 000 т</w:t>
            </w:r>
          </w:p>
        </w:tc>
        <w:tc>
          <w:tcPr>
            <w:tcW w:type="dxa" w:w="4320"/>
          </w:tcPr>
          <w:p>
            <w:r>
              <w:t>800</w:t>
            </w:r>
          </w:p>
        </w:tc>
      </w:tr>
      <w:tr>
        <w:tc>
          <w:tcPr>
            <w:tcW w:type="dxa" w:w="4320"/>
          </w:tcPr>
          <w:p>
            <w:r>
              <w:t>Инженерные сети, ЛЭП</w:t>
            </w:r>
          </w:p>
        </w:tc>
        <w:tc>
          <w:tcPr>
            <w:tcW w:type="dxa" w:w="4320"/>
          </w:tcPr>
          <w:p>
            <w:r>
              <w:t>750</w:t>
            </w:r>
          </w:p>
        </w:tc>
      </w:tr>
      <w:tr>
        <w:tc>
          <w:tcPr>
            <w:tcW w:type="dxa" w:w="4320"/>
          </w:tcPr>
          <w:p>
            <w:r>
              <w:t>Инкубаторий 500 тыс. яиц/нед.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Compost 5 т/ч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**12 000**</w:t>
            </w:r>
          </w:p>
        </w:tc>
      </w:tr>
    </w:tbl>
    <w:p>
      <w:r>
        <w:t>Полная таблица: лист «CAPEX» в xlsx.</w:t>
      </w:r>
    </w:p>
    <w:p>
      <w:pPr>
        <w:pStyle w:val="Heading3"/>
      </w:pPr>
      <w:r>
        <w:t>Связь с холдингом</w:t>
      </w:r>
    </w:p>
    <w:p>
      <w:pPr>
        <w:pStyle w:val="ListBullet"/>
      </w:pPr>
      <w:r>
        <w:t>Направление агрохолдинга «Нова-Агро», **не замена всего ТЭО 100 млрд** — отдельный блок **12 млрд ₽**.</w:t>
      </w:r>
    </w:p>
    <w:p>
      <w:pPr>
        <w:pStyle w:val="ListBullet"/>
      </w:pPr>
      <w:r>
        <w:t>Замена baseline-блока: `кролиководство` → **птицекомплекс** (18 169 т мяса + яйцо).</w:t>
      </w:r>
    </w:p>
    <w:p>
      <w:pPr>
        <w:pStyle w:val="ListBullet"/>
      </w:pPr>
      <w:r>
        <w:t>Корм с ККЗ холдинга; биогаз **APK 20 МВт·ч** — вне CAPEX блока.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