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T02. Масштаб и фаза</w:t>
      </w:r>
    </w:p>
    <w:p>
      <w:pPr>
        <w:jc w:val="center"/>
      </w:pPr>
      <w:r>
        <w:rPr>
          <w:i/>
          <w:sz w:val="20"/>
        </w:rPr>
        <w:t>Проект «МОЯ МЕЧТА» | птицеводство draft | 2026-06-26</w:t>
      </w:r>
    </w:p>
    <w:p/>
    <w:p>
      <w:pPr>
        <w:pStyle w:val="Heading1"/>
      </w:pPr>
      <w:r>
        <w:t>Действие</w:t>
      </w:r>
    </w:p>
    <w:p>
      <w:r>
        <w:t>action_on_replace: new</w:t>
      </w:r>
    </w:p>
    <w:p>
      <w:pPr>
        <w:pStyle w:val="Heading1"/>
      </w:pPr>
      <w:r>
        <w:t>Содержание</w:t>
      </w:r>
    </w:p>
    <w:p>
      <w:pPr>
        <w:pStyle w:val="Heading2"/>
      </w:pPr>
      <w:r>
        <w:t>Источник: docs/teo-poultry/T02-scale-phase.md</w:t>
      </w:r>
    </w:p>
    <w:p>
      <w:r>
        <w:rPr>
          <w:rFonts w:ascii="Consolas" w:hAnsi="Consolas"/>
          <w:color w:val="1A568E"/>
          <w:sz w:val="18"/>
        </w:rPr>
        <w:t>↳ docs/teo-poultry/T02-scale-phase.md</w:t>
      </w:r>
    </w:p>
    <w:p>
      <w:pPr>
        <w:pStyle w:val="Heading2"/>
      </w:pPr>
      <w:r>
        <w:t>T02. Масштаб и фаза (птицеводство)</w:t>
      </w:r>
    </w:p>
    <w:p>
      <w:r>
        <w:rPr>
          <w:i/>
        </w:rPr>
        <w:t>Источники: `appendix/03-svodnyy-raschet-kompleksa.md`, `finmodel-pticekompleks-12-mlrd.xlsx`</w:t>
      </w:r>
    </w:p>
    <w:p>
      <w:pPr>
        <w:pStyle w:val="Heading3"/>
      </w:pPr>
      <w:r>
        <w:t>Производственные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**Мясо птицы**</w:t>
            </w:r>
          </w:p>
        </w:tc>
        <w:tc>
          <w:tcPr>
            <w:tcW w:type="dxa" w:w="4320"/>
          </w:tcPr>
          <w:p>
            <w:r>
              <w:t>**18 169 т/год**</w:t>
            </w:r>
          </w:p>
        </w:tc>
      </w:tr>
      <w:tr>
        <w:tc>
          <w:tcPr>
            <w:tcW w:type="dxa" w:w="4320"/>
          </w:tcPr>
          <w:p>
            <w:r>
              <w:t>**Куриное яйцо**</w:t>
            </w:r>
          </w:p>
        </w:tc>
        <w:tc>
          <w:tcPr>
            <w:tcW w:type="dxa" w:w="4320"/>
          </w:tcPr>
          <w:p>
            <w:r>
              <w:t>**153,6 млн шт./год**</w:t>
            </w:r>
          </w:p>
        </w:tc>
      </w:tr>
      <w:tr>
        <w:tc>
          <w:tcPr>
            <w:tcW w:type="dxa" w:w="4320"/>
          </w:tcPr>
          <w:p>
            <w:r>
              <w:t>**Перепелиное яйцо**</w:t>
            </w:r>
          </w:p>
        </w:tc>
        <w:tc>
          <w:tcPr>
            <w:tcW w:type="dxa" w:w="4320"/>
          </w:tcPr>
          <w:p>
            <w:r>
              <w:t>**7 млн шт./год**</w:t>
            </w:r>
          </w:p>
        </w:tc>
      </w:tr>
      <w:tr>
        <w:tc>
          <w:tcPr>
            <w:tcW w:type="dxa" w:w="4320"/>
          </w:tcPr>
          <w:p>
            <w:r>
              <w:t>Единовременное поголовье</w:t>
            </w:r>
          </w:p>
        </w:tc>
        <w:tc>
          <w:tcPr>
            <w:tcW w:type="dxa" w:w="4320"/>
          </w:tcPr>
          <w:p>
            <w:r>
              <w:t>**2 147 400 голов**</w:t>
            </w:r>
          </w:p>
        </w:tc>
      </w:tr>
      <w:tr>
        <w:tc>
          <w:tcPr>
            <w:tcW w:type="dxa" w:w="4320"/>
          </w:tcPr>
          <w:p>
            <w:r>
              <w:t>Птичников / модулей</w:t>
            </w:r>
          </w:p>
        </w:tc>
        <w:tc>
          <w:tcPr>
            <w:tcW w:type="dxa" w:w="4320"/>
          </w:tcPr>
          <w:p>
            <w:r>
              <w:t>**118**</w:t>
            </w:r>
          </w:p>
        </w:tc>
      </w:tr>
      <w:tr>
        <w:tc>
          <w:tcPr>
            <w:tcW w:type="dxa" w:w="4320"/>
          </w:tcPr>
          <w:p>
            <w:r>
              <w:t>Регион / юридический адрес</w:t>
            </w:r>
          </w:p>
        </w:tc>
        <w:tc>
          <w:tcPr>
            <w:tcW w:type="dxa" w:w="4320"/>
          </w:tcPr>
          <w:p>
            <w:r>
              <w:t>**Запорожская область, г. Мелитополь**</w:t>
            </w:r>
          </w:p>
        </w:tc>
      </w:tr>
      <w:tr>
        <w:tc>
          <w:tcPr>
            <w:tcW w:type="dxa" w:w="4320"/>
          </w:tcPr>
          <w:p>
            <w:r>
              <w:t>APK холдинга (птица)</w:t>
            </w:r>
          </w:p>
        </w:tc>
        <w:tc>
          <w:tcPr>
            <w:tcW w:type="dxa" w:w="4320"/>
          </w:tcPr>
          <w:p>
            <w:r>
              <w:t>**250 000 га**</w:t>
            </w:r>
          </w:p>
        </w:tc>
      </w:tr>
      <w:tr>
        <w:tc>
          <w:tcPr>
            <w:tcW w:type="dxa" w:w="4320"/>
          </w:tcPr>
          <w:p>
            <w:r>
              <w:t>Слот блока</w:t>
            </w:r>
          </w:p>
        </w:tc>
        <w:tc>
          <w:tcPr>
            <w:tcW w:type="dxa" w:w="4320"/>
          </w:tcPr>
          <w:p>
            <w:r>
              <w:t>**400 га** — `land-budget.yaml`</w:t>
            </w:r>
          </w:p>
        </w:tc>
      </w:tr>
      <w:tr>
        <w:tc>
          <w:tcPr>
            <w:tcW w:type="dxa" w:w="4320"/>
          </w:tcPr>
          <w:p>
            <w:r>
              <w:t>Рабочих мест</w:t>
            </w:r>
          </w:p>
        </w:tc>
        <w:tc>
          <w:tcPr>
            <w:tcW w:type="dxa" w:w="4320"/>
          </w:tcPr>
          <w:p>
            <w:r>
              <w:t>**476**</w:t>
            </w:r>
          </w:p>
        </w:tc>
      </w:tr>
      <w:tr>
        <w:tc>
          <w:tcPr>
            <w:tcW w:type="dxa" w:w="4320"/>
          </w:tcPr>
          <w:p>
            <w:r>
              <w:t>Корма</w:t>
            </w:r>
          </w:p>
        </w:tc>
        <w:tc>
          <w:tcPr>
            <w:tcW w:type="dxa" w:w="4320"/>
          </w:tcPr>
          <w:p>
            <w:r>
              <w:t>**66 712 т/год**</w:t>
            </w:r>
          </w:p>
        </w:tc>
      </w:tr>
    </w:tbl>
    <w:p>
      <w:pPr>
        <w:pStyle w:val="Heading3"/>
      </w:pPr>
      <w:r>
        <w:t>Выход на мощность (база выручки **5 559**)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Год</w:t>
            </w:r>
          </w:p>
        </w:tc>
        <w:tc>
          <w:tcPr>
            <w:tcW w:type="dxa" w:w="1728"/>
          </w:tcPr>
          <w:p>
            <w:r>
              <w:t>2027</w:t>
            </w:r>
          </w:p>
        </w:tc>
        <w:tc>
          <w:tcPr>
            <w:tcW w:type="dxa" w:w="1728"/>
          </w:tcPr>
          <w:p>
            <w:r>
              <w:t>2028</w:t>
            </w:r>
          </w:p>
        </w:tc>
        <w:tc>
          <w:tcPr>
            <w:tcW w:type="dxa" w:w="1728"/>
          </w:tcPr>
          <w:p>
            <w:r>
              <w:t>2029</w:t>
            </w:r>
          </w:p>
        </w:tc>
        <w:tc>
          <w:tcPr>
            <w:tcW w:type="dxa" w:w="1728"/>
          </w:tcPr>
          <w:p>
            <w:r>
              <w:t>2030</w:t>
            </w:r>
          </w:p>
        </w:tc>
      </w:tr>
      <w:tr>
        <w:tc>
          <w:tcPr>
            <w:tcW w:type="dxa" w:w="1728"/>
          </w:tcPr>
          <w:p>
            <w:r>
              <w:t>Загрузка</w:t>
            </w:r>
          </w:p>
        </w:tc>
        <w:tc>
          <w:tcPr>
            <w:tcW w:type="dxa" w:w="1728"/>
          </w:tcPr>
          <w:p>
            <w:r>
              <w:t>35%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85%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Выручка, млн ₽</w:t>
            </w:r>
          </w:p>
        </w:tc>
        <w:tc>
          <w:tcPr>
            <w:tcW w:type="dxa" w:w="1728"/>
          </w:tcPr>
          <w:p>
            <w:r>
              <w:t>**1 946**</w:t>
            </w:r>
          </w:p>
        </w:tc>
        <w:tc>
          <w:tcPr>
            <w:tcW w:type="dxa" w:w="1728"/>
          </w:tcPr>
          <w:p>
            <w:r>
              <w:t>**3 613**</w:t>
            </w:r>
          </w:p>
        </w:tc>
        <w:tc>
          <w:tcPr>
            <w:tcW w:type="dxa" w:w="1728"/>
          </w:tcPr>
          <w:p>
            <w:r>
              <w:t>**4 725**</w:t>
            </w:r>
          </w:p>
        </w:tc>
        <w:tc>
          <w:tcPr>
            <w:tcW w:type="dxa" w:w="1728"/>
          </w:tcPr>
          <w:p>
            <w:r>
              <w:t>**5 559**</w:t>
            </w:r>
          </w:p>
        </w:tc>
      </w:tr>
    </w:tbl>
    <w:p>
      <w:pPr>
        <w:pStyle w:val="Heading3"/>
      </w:pPr>
      <w:r>
        <w:t>Продуктовая стратегия</w:t>
      </w:r>
    </w:p>
    <w:p>
      <w:pPr>
        <w:pStyle w:val="ListBullet"/>
      </w:pPr>
      <w:r>
        <w:t>**Бройлер + куриное яйцо** — ≈70% направленческого CAPEX, &gt;90% выручки.</w:t>
      </w:r>
    </w:p>
    <w:p>
      <w:pPr>
        <w:pStyle w:val="ListBullet"/>
      </w:pPr>
      <w:r>
        <w:t>Удобрение **525,6 млн ₽** — отдельная строка (= кролики tab#205).</w:t>
      </w:r>
    </w:p>
    <w:p>
      <w:r>
        <w:t>Подробно: `appendix/03-svodnyy-raschet-kompleksa.md`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