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T08. Энергия на ферме</w:t>
      </w:r>
    </w:p>
    <w:p>
      <w:pPr>
        <w:jc w:val="center"/>
      </w:pPr>
      <w:r>
        <w:rPr>
          <w:i/>
          <w:sz w:val="20"/>
        </w:rPr>
        <w:t>Проект «МОЯ МЕЧТА» | baseline кролиководство | 2026-06-24</w:t>
      </w:r>
    </w:p>
    <w:p>
      <w:pPr>
        <w:jc w:val="center"/>
      </w:pPr>
      <w:r>
        <w:rPr>
          <w:sz w:val="20"/>
        </w:rPr>
        <w:t>солнечные панели 10 МВт·ч на кролиководческих фермах</w:t>
      </w:r>
    </w:p>
    <w:p/>
    <w:p>
      <w:pPr>
        <w:pStyle w:val="Heading1"/>
      </w:pPr>
      <w:r>
        <w:t>Действие при замене блока</w:t>
      </w:r>
    </w:p>
    <w:p>
      <w:r>
        <w:t>action_on_replace: adapt</w:t>
      </w:r>
    </w:p>
    <w:p>
      <w:pPr>
        <w:pStyle w:val="Heading1"/>
      </w:pPr>
      <w:r>
        <w:t>Содержание по источникам</w:t>
      </w:r>
    </w:p>
    <w:p>
      <w:pPr>
        <w:pStyle w:val="Heading2"/>
      </w:pPr>
      <w:r>
        <w:t>Источник: docs/graphify-corpus/01-vvedenie-i-resume.md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docs/graphify-corpus/01-vvedenie-i-resume.md:10–16</w:t>
      </w:r>
    </w:p>
    <w:p>
      <w:r>
        <w:rPr>
          <w:rFonts w:ascii="Consolas" w:hAnsi="Consolas"/>
          <w:color w:val="1A568E"/>
          <w:sz w:val="18"/>
        </w:rPr>
        <w:t>↳ docs/graphify-corpus/01-vvedenie-i-resume.md:76–82</w:t>
      </w:r>
    </w:p>
    <w:p>
      <w:r>
        <w:rPr>
          <w:rFonts w:ascii="Consolas" w:hAnsi="Consolas"/>
          <w:color w:val="1A568E"/>
          <w:sz w:val="18"/>
        </w:rPr>
        <w:t>↳ docs/graphify-corpus/01-vvedenie-i-resume.md:87–93</w:t>
      </w:r>
    </w:p>
    <w:p>
      <w:r>
        <w:rPr>
          <w:rFonts w:ascii="Consolas" w:hAnsi="Consolas"/>
          <w:color w:val="1A568E"/>
          <w:sz w:val="18"/>
        </w:rPr>
        <w:t>↳ docs/graphify-corpus/01-vvedenie-i-resume.md:101–107</w:t>
      </w:r>
    </w:p>
    <w:p>
      <w:r>
        <w:rPr>
          <w:rFonts w:ascii="Consolas" w:hAnsi="Consolas"/>
          <w:color w:val="1A568E"/>
          <w:sz w:val="18"/>
        </w:rPr>
        <w:t>↳ docs/graphify-corpus/01-vvedenie-i-resume.md:110–116</w:t>
      </w:r>
    </w:p>
    <w:p>
      <w:r>
        <w:rPr>
          <w:rFonts w:ascii="Consolas" w:hAnsi="Consolas"/>
          <w:color w:val="1A568E"/>
          <w:sz w:val="18"/>
        </w:rPr>
        <w:t>↳ docs/graphify-corpus/01-vvedenie-i-resume.md:321–327</w:t>
      </w:r>
    </w:p>
    <w:p>
      <w:r>
        <w:rPr>
          <w:rFonts w:ascii="Consolas" w:hAnsi="Consolas"/>
          <w:color w:val="1A568E"/>
          <w:sz w:val="18"/>
        </w:rPr>
        <w:t>↳ docs/graphify-corpus/01-vvedenie-i-resume.md:338–352</w:t>
      </w:r>
    </w:p>
    <w:p>
      <w:r>
        <w:rPr>
          <w:rFonts w:ascii="Consolas" w:hAnsi="Consolas"/>
          <w:color w:val="1A568E"/>
          <w:sz w:val="18"/>
        </w:rPr>
        <w:t>↳ docs/graphify-corpus/01-vvedenie-i-resume.md:404–413</w:t>
      </w:r>
    </w:p>
    <w:p>
      <w:r>
        <w:rPr>
          <w:rFonts w:ascii="Consolas" w:hAnsi="Consolas"/>
          <w:color w:val="1A568E"/>
          <w:sz w:val="18"/>
        </w:rPr>
        <w:t>↳ docs/graphify-corpus/01-vvedenie-i-resume.md:420–426</w:t>
      </w:r>
    </w:p>
    <w:p>
      <w:r>
        <w:rPr>
          <w:rFonts w:ascii="Consolas" w:hAnsi="Consolas"/>
          <w:color w:val="1A568E"/>
          <w:sz w:val="18"/>
        </w:rPr>
        <w:t>↳ docs/graphify-corpus/01-vvedenie-i-resume.md:443–453</w:t>
      </w:r>
    </w:p>
    <w:p>
      <w:r>
        <w:rPr>
          <w:rFonts w:ascii="Consolas" w:hAnsi="Consolas"/>
          <w:color w:val="1A568E"/>
          <w:sz w:val="18"/>
        </w:rPr>
        <w:t>↳ docs/graphify-corpus/01-vvedenie-i-resume.md:465–471</w:t>
      </w:r>
    </w:p>
    <w:p>
      <w:r>
        <w:rPr>
          <w:rFonts w:ascii="Consolas" w:hAnsi="Consolas"/>
          <w:color w:val="1A568E"/>
          <w:sz w:val="18"/>
        </w:rPr>
        <w:t>↳ docs/graphify-corpus/01-vvedenie-i-resume.md:522–535</w:t>
      </w:r>
    </w:p>
    <w:p>
      <w:r>
        <w:rPr>
          <w:rFonts w:ascii="Consolas" w:hAnsi="Consolas"/>
          <w:color w:val="1A568E"/>
          <w:sz w:val="18"/>
        </w:rPr>
        <w:t>↳ docs/graphify-corpus/01-vvedenie-i-resume.md:580–586</w:t>
      </w:r>
    </w:p>
    <w:p>
      <w:r>
        <w:rPr>
          <w:rFonts w:ascii="Consolas" w:hAnsi="Consolas"/>
          <w:color w:val="1A568E"/>
          <w:sz w:val="18"/>
        </w:rPr>
        <w:t>↳ docs/graphify-corpus/01-vvedenie-i-resume.md:609–615</w:t>
      </w:r>
    </w:p>
    <w:p>
      <w:r>
        <w:rPr>
          <w:rFonts w:ascii="Consolas" w:hAnsi="Consolas"/>
          <w:color w:val="1A568E"/>
          <w:sz w:val="18"/>
        </w:rPr>
        <w:t>↳ docs/graphify-corpus/01-vvedenie-i-resume.md:628–642</w:t>
      </w:r>
    </w:p>
    <w:p>
      <w:r>
        <w:rPr>
          <w:rFonts w:ascii="Consolas" w:hAnsi="Consolas"/>
          <w:color w:val="1A568E"/>
          <w:sz w:val="18"/>
        </w:rPr>
        <w:t>↳ docs/graphify-corpus/01-vvedenie-i-resume.md:703–709</w:t>
      </w:r>
    </w:p>
    <w:p>
      <w:r>
        <w:rPr>
          <w:rFonts w:ascii="Consolas" w:hAnsi="Consolas"/>
          <w:color w:val="1A568E"/>
          <w:sz w:val="18"/>
        </w:rPr>
        <w:t>↳ docs/graphify-corpus/01-vvedenie-i-resume.md:711–717</w:t>
      </w:r>
    </w:p>
    <w:p>
      <w:r>
        <w:rPr>
          <w:rFonts w:ascii="Consolas" w:hAnsi="Consolas"/>
          <w:color w:val="1A568E"/>
          <w:sz w:val="18"/>
        </w:rPr>
        <w:t>↳ docs/graphify-corpus/01-vvedenie-i-resume.md:799–805</w:t>
      </w:r>
    </w:p>
    <w:p>
      <w:r>
        <w:rPr>
          <w:rFonts w:ascii="Consolas" w:hAnsi="Consolas"/>
          <w:color w:val="1A568E"/>
          <w:sz w:val="18"/>
        </w:rPr>
        <w:t>↳ docs/graphify-corpus/01-vvedenie-i-resume.md:809–815</w:t>
      </w:r>
    </w:p>
    <w:p>
      <w:r>
        <w:rPr>
          <w:rFonts w:ascii="Consolas" w:hAnsi="Consolas"/>
          <w:color w:val="1A568E"/>
          <w:sz w:val="18"/>
        </w:rPr>
        <w:t>↳ docs/graphify-corpus/01-vvedenie-i-resume.md:881–887</w:t>
      </w:r>
    </w:p>
    <w:p>
      <w:r>
        <w:rPr>
          <w:rFonts w:ascii="Consolas" w:hAnsi="Consolas"/>
          <w:color w:val="1A568E"/>
          <w:sz w:val="18"/>
        </w:rPr>
        <w:t>↳ docs/graphify-corpus/01-vvedenie-i-resume.md:951–965</w:t>
      </w:r>
    </w:p>
    <w:p>
      <w:r>
        <w:rPr>
          <w:rFonts w:ascii="Consolas" w:hAnsi="Consolas"/>
          <w:color w:val="1A568E"/>
          <w:sz w:val="18"/>
        </w:rPr>
        <w:t>↳ docs/graphify-corpus/01-vvedenie-i-resume.md:1048–1054</w:t>
      </w:r>
    </w:p>
    <w:p>
      <w:r>
        <w:rPr>
          <w:rFonts w:ascii="Consolas" w:hAnsi="Consolas"/>
          <w:color w:val="1A568E"/>
          <w:sz w:val="18"/>
        </w:rPr>
        <w:t>↳ docs/graphify-corpus/01-vvedenie-i-resume.md:1060–1066</w:t>
      </w:r>
    </w:p>
    <w:p>
      <w:r>
        <w:rPr>
          <w:rFonts w:ascii="Consolas" w:hAnsi="Consolas"/>
          <w:color w:val="1A568E"/>
          <w:sz w:val="18"/>
        </w:rPr>
        <w:t>↳ docs/graphify-corpus/01-vvedenie-i-resume.md:1072–1078</w:t>
      </w:r>
    </w:p>
    <w:p>
      <w:r>
        <w:rPr>
          <w:rFonts w:ascii="Consolas" w:hAnsi="Consolas"/>
          <w:color w:val="1A568E"/>
          <w:sz w:val="18"/>
        </w:rPr>
        <w:t>↳ docs/graphify-corpus/01-vvedenie-i-resume.md:1084–1095</w:t>
      </w:r>
    </w:p>
    <w:p>
      <w:r>
        <w:rPr>
          <w:rFonts w:ascii="Consolas" w:hAnsi="Consolas"/>
          <w:color w:val="1A568E"/>
          <w:sz w:val="18"/>
        </w:rPr>
        <w:t>↳ docs/graphify-corpus/01-vvedenie-i-resume.md:1195–1201</w:t>
      </w:r>
    </w:p>
    <w:p>
      <w:r>
        <w:rPr>
          <w:rFonts w:ascii="Consolas" w:hAnsi="Consolas"/>
          <w:color w:val="1A568E"/>
          <w:sz w:val="18"/>
        </w:rPr>
        <w:t>↳ docs/graphify-corpus/01-vvedenie-i-resume.md:1208–1214</w:t>
      </w:r>
    </w:p>
    <w:p>
      <w:r>
        <w:rPr>
          <w:rFonts w:ascii="Consolas" w:hAnsi="Consolas"/>
          <w:color w:val="1A568E"/>
          <w:sz w:val="18"/>
        </w:rPr>
        <w:t>↳ docs/graphify-corpus/01-vvedenie-i-resume.md:1222–1228</w:t>
      </w:r>
    </w:p>
    <w:p>
      <w:r>
        <w:rPr>
          <w:rFonts w:ascii="Consolas" w:hAnsi="Consolas"/>
          <w:color w:val="1A568E"/>
          <w:sz w:val="18"/>
        </w:rPr>
        <w:t>↳ docs/graphify-corpus/01-vvedenie-i-resume.md:1235–1241</w:t>
      </w:r>
    </w:p>
    <w:p>
      <w:r>
        <w:rPr>
          <w:rFonts w:ascii="Consolas" w:hAnsi="Consolas"/>
          <w:color w:val="1A568E"/>
          <w:sz w:val="18"/>
        </w:rPr>
        <w:t>↳ docs/graphify-corpus/01-vvedenie-i-resume.md:1246–1252</w:t>
      </w:r>
    </w:p>
    <w:p>
      <w:r>
        <w:rPr>
          <w:rFonts w:ascii="Consolas" w:hAnsi="Consolas"/>
          <w:color w:val="1A568E"/>
          <w:sz w:val="18"/>
        </w:rPr>
        <w:t>↳ docs/graphify-corpus/01-vvedenie-i-resume.md:1257–1263</w:t>
      </w:r>
    </w:p>
    <w:p>
      <w:r>
        <w:rPr>
          <w:rFonts w:ascii="Consolas" w:hAnsi="Consolas"/>
          <w:color w:val="1A568E"/>
          <w:sz w:val="18"/>
        </w:rPr>
        <w:t>↳ docs/graphify-corpus/01-vvedenie-i-resume.md:1283–1296</w:t>
      </w:r>
    </w:p>
    <w:p>
      <w:r>
        <w:rPr>
          <w:rFonts w:ascii="Consolas" w:hAnsi="Consolas"/>
          <w:color w:val="1A568E"/>
          <w:sz w:val="18"/>
        </w:rPr>
        <w:t>↳ docs/graphify-corpus/01-vvedenie-i-resume.md:1509–1515</w:t>
      </w:r>
    </w:p>
    <w:p>
      <w:r>
        <w:rPr>
          <w:rFonts w:ascii="Consolas" w:hAnsi="Consolas"/>
          <w:color w:val="1A568E"/>
          <w:sz w:val="18"/>
        </w:rPr>
        <w:t>↳ docs/graphify-corpus/01-vvedenie-i-resume.md:1546–1552</w:t>
      </w:r>
    </w:p>
    <w:p>
      <w:r>
        <w:rPr>
          <w:rFonts w:ascii="Consolas" w:hAnsi="Consolas"/>
          <w:color w:val="1A568E"/>
          <w:sz w:val="18"/>
        </w:rPr>
        <w:t>↳ docs/graphify-corpus/01-vvedenie-i-resume.md:1629–1635</w:t>
      </w:r>
    </w:p>
    <w:p>
      <w:r>
        <w:rPr>
          <w:rFonts w:ascii="Consolas" w:hAnsi="Consolas"/>
          <w:color w:val="1A568E"/>
          <w:sz w:val="18"/>
        </w:rPr>
        <w:t>↳ docs/graphify-corpus/01-vvedenie-i-resume.md:1642–1653</w:t>
      </w:r>
    </w:p>
    <w:p>
      <w:pPr>
        <w:pStyle w:val="Heading3"/>
      </w:pPr>
      <w:r>
        <w:t>Фрагмент docs/graphify-corpus/01-vvedenie-i-resume.md:10–16</w:t>
      </w:r>
    </w:p>
    <w:p>
      <w:r>
        <w:t>ТЕХНИКО-ЭКОНОМИЧЕСКОЕ ОБОСНОВАНИЕ ЭФФЕКТИВНОСТИ ПРОЕКТА:</w:t>
      </w:r>
    </w:p>
    <w:p>
      <w:r>
        <w:t>ОРГАНИЗАЦИЯ МНОГООТРАСЛЕВОГО АГРОПРОМЫШЛЕННОГО ПРЕДПРИЯТИЯ, СПЕЦИАЛИЗИРУЮЩЕГОСЯ НА РАЗВЕДЕНИИ КРОЛИКОВ МЯСНЫХ ПОРОД, КРУПНОГО РОГАТОГО СКОТА МЯСНЫХ И МОЛОЧНЫХ ПОРОД, ОВЕЦ МЯСНЫХ ПОРОД, ПРОИЗВОДСТВЕ ВЫСОКОКАЧЕСТВЕННОГО МЯСА И МОЛОЧНЫХ ПРОДУКТОВ, ВЫРАЩИВАНИИ ТЕПЛИЧНЫХ ОВОЩЕЙ И ЦВЕТОВ, ОСЕТРОВЫХ РЫБ (БЕЛУГА) ДЛЯ ПОЛУЧЕНИЯ ЧЕРНОЙ ИКРЫ, ПРОИЗВОДСТВЕ ПОДСОЛНЕЧНОГО И СОЕВОГО МАСЛА, МАРГАРИНА, А ТАКЖЕ ГЛУБОКОЙ ПЕРЕРАБОТКЕ ПОБОЧНЫХ ПРОДУКТОВ И ОТХОДОВ ЖИВОТНОВОДСТВА</w:t>
      </w:r>
    </w:p>
    <w:p>
      <w:r>
        <w:t>СВОДНЫЕ ДАННЫЕ ПО ПРОЕКТУ</w:t>
      </w:r>
    </w:p>
    <w:p>
      <w:pPr>
        <w:pStyle w:val="Heading3"/>
      </w:pPr>
      <w:r>
        <w:t>Фрагмент docs/graphify-corpus/01-vvedenie-i-resume.md:76–82</w:t>
      </w:r>
    </w:p>
    <w:p>
      <w:r>
        <w:t>ВВЕДЕНИЕ.</w:t>
      </w:r>
    </w:p>
    <w:p>
      <w:r>
        <w:t>Цель документа:</w:t>
        <w:br/>
        <w:t>Предоставление к инвесторам – для обоснования эффективности проекта по организацию многоотраслевого агропромышленного предприятия, специализирующегося на разведении кроликов мясных пород, крупного рогатого скота мясных и молочных пород, овец мясных пород, производстве высококачественного мяса и молочных продуктов, выращивании тепличных овощей и цветов, осетровых рыб (белуга) для получения черной икры, производстве подсолнечного и соевого масла, маргарина, а также глубокой переработке побочных продуктов и отходов животноводства на территории Херсонской области Российской Федерации.</w:t>
      </w:r>
    </w:p>
    <w:p>
      <w:r>
        <w:t>Актуальность бизнес идеи</w:t>
        <w:br/>
        <w:t>Организация многоотраслевого агропромышленного предприятия на территории Херсонской области Российской Федерации является высокоактуальной инициативой, обусловленной рядом экономических, социальных и экологических факторов.</w:t>
      </w:r>
    </w:p>
    <w:p>
      <w:pPr>
        <w:pStyle w:val="Heading3"/>
      </w:pPr>
      <w:r>
        <w:t>Фрагмент docs/graphify-corpus/01-vvedenie-i-resume.md:87–93</w:t>
      </w:r>
    </w:p>
    <w:p>
      <w:r>
        <w:t>В-третьих, организация рыбоводческой фермы по разведению осетровых пород, в том числе белуги, для производства натуральной черной икры представляет собой перспективное направление с высокой добавленной стоимостью и экспортным потенциалом. Такая продукция востребована как на российском, так и на международных рынках.</w:t>
      </w:r>
    </w:p>
    <w:p>
      <w:r>
        <w:t>В-четвёртых, производство растительных масел (подсолнечного и соевого), а также маргарина и продуктов глубокой переработки сельхозсырья и побочных продуктов животноводства позволит создать замкнутый производственный цикл, минимизировать отходы, снизить себестоимость и повысить рентабельность предприятия.</w:t>
      </w:r>
    </w:p>
    <w:p>
      <w:r>
        <w:t>Кроме того, реализация данного проекта способствует социально-экономическому развитию региона: создаются новые рабочие места, улучшается инфраструктура, повышается занятость и уровень жизни населения. В условиях необходимости продовольственного импортозамещения и укрепления аграрного сектора экономики, запуск многоотраслевого агропромышленного комплекса на территории Херсонской области является стратегически важной и своевременной инициативой.</w:t>
      </w:r>
    </w:p>
    <w:p>
      <w:pPr>
        <w:pStyle w:val="Heading3"/>
      </w:pPr>
      <w:r>
        <w:t>Фрагмент docs/graphify-corpus/01-vvedenie-i-resume.md:101–107</w:t>
      </w:r>
    </w:p>
    <w:p>
      <w:r>
        <w:t>Проект: Организация многоотраслевого агропромышленного предприятия</w:t>
        <w:br/>
        <w:t>Проект направлен на создание крупного, вертикально интегрированного агропромышленного комплекса на территории Херсонской области РФ, с полным циклом производства от выращивания кормов до глубокой переработки животноводческой продукции.</w:t>
        <w:br/>
        <w:t>Общая площадь земель — 135 000 га, из них 100 000 га — под агропромышленный комплекс, 35 000 га — заповедник. Посевные площади составляют 80 000 га, из них 34 000 га под подсолнечник, 34 000 га под сою, 12 000 га под другие культуры.</w:t>
        <w:br/>
        <w:t>Ключевые направления проекта:</w:t>
        <w:br/>
        <w:t>Кролиководство (6 млн. голов) — 7 000 тн мяса в год (итальянская технология)</w:t>
        <w:br/>
        <w:t>Тепличный комплекс (100 га) — 18 400 тн овощей в год, 376,0 млн шт. цветов в год (голландская технология)</w:t>
      </w:r>
    </w:p>
    <w:p>
      <w:pPr>
        <w:pStyle w:val="Heading3"/>
      </w:pPr>
      <w:r>
        <w:t>Фрагмент docs/graphify-corpus/01-vvedenie-i-resume.md:110–116</w:t>
      </w:r>
    </w:p>
    <w:p>
      <w:r>
        <w:t>Масложировой комбинат (650 т в сутки) — 50 000 тн масло в год, 110 000 тн шрот в год, 33 000 тн маргарин в год</w:t>
        <w:br/>
        <w:t>Комбикормовый завод — 262 800 тн в год (итальянская технология)</w:t>
        <w:br/>
        <w:t>Биогазовая установка (20 Мвт.ч. электроэнергии) — энергетическая независимость и 600 000 тн удобрения (итальянская технология)</w:t>
        <w:br/>
        <w:t>Солнечные панели (50 Мвт.ч.) - энергетическая независимость и зеленая энергия</w:t>
        <w:br/>
        <w:t>Экономические показатели:</w:t>
        <w:br/>
        <w:t>Общий объём инвестиций — 100 млрд руб</w:t>
        <w:br/>
        <w:t>Источники финансирования — 100% инвестиции</w:t>
      </w:r>
    </w:p>
    <w:p>
      <w:pPr>
        <w:pStyle w:val="Heading3"/>
      </w:pPr>
      <w:r>
        <w:t>Фрагмент docs/graphify-corpus/01-vvedenie-i-resume.md:321–327</w:t>
      </w:r>
    </w:p>
    <w:p>
      <w:r>
        <w:t>Цены реализации:</w:t>
        <w:br/>
        <w:t>Кровяная мука — 90 рублей кг;</w:t>
        <w:br/>
        <w:t>Вся продукция (100%) будет реализована на внутреннем рынке.</w:t>
        <w:br/>
        <w:t>Солнечные фотоэлектрические панели в комплекте с аккумуляторами.</w:t>
        <w:br/>
        <w:t>Мощность: 20 МВт-часов.</w:t>
        <w:br/>
        <w:t>Годовая производственная мощность:</w:t>
        <w:br/>
        <w:t>Электроэнергия — 44 000 МВт. час;</w:t>
      </w:r>
    </w:p>
    <w:p>
      <w:pPr>
        <w:pStyle w:val="Heading3"/>
      </w:pPr>
      <w:r>
        <w:t>Фрагмент docs/graphify-corpus/01-vvedenie-i-resume.md:338–352</w:t>
      </w:r>
    </w:p>
    <w:p>
      <w:r>
        <w:t>Вода будет обеспечиваться из собственной артезианской скважины, расположенной на территории объекта.</w:t>
        <w:br/>
        <w:t>Газ будет использоваться исключительно для хозяйственно-бытовых нужд.</w:t>
        <w:br/>
        <w:t>Электроэнергия будет генерироваться с помощью солнечных фотоэлектрических панелей и биогазовой установки.</w:t>
      </w:r>
    </w:p>
    <w:p>
      <w:r>
        <w:t>Проектная мощность установок позволяет производить больше энергии, чем необходимо для внутреннего потребления. Излишки электроэнергии будут продаваться государству.</w:t>
      </w:r>
    </w:p>
    <w:p>
      <w:r>
        <w:t>Кормовая база. Мы планируем выращивать сельскохозяйственные культуры для создания собственной кормовой базы. В частности, на площади 80 000 га, предоставленных нам государством на основе долгосрочной аренды, будут выращиваться следующие культуры: подсолнечник – 34 000 га, соя - 34 000 га, сено, ячмень, пшеница, кукуруза, овес, подсолнечник и свекла – 12 000 га.</w:t>
      </w:r>
    </w:p>
    <w:p>
      <w:r>
        <w:t>Для реализации этого проекта мы планируем закупить необходимую сельскохозяйственную технику, используя инвестиции.</w:t>
      </w:r>
    </w:p>
    <w:p>
      <w:r>
        <w:t>Основными продуктами для изготовления комбикорма будут являться шрот подсолнечника и сои. Мы планируем перерабатывать подсолнечник и сои в масложировом комбинате.</w:t>
      </w:r>
    </w:p>
    <w:p>
      <w:r>
        <w:t>Корма будут производиться на нашем собственном комбикормовом заводе, поставленном итальянской компанией F.lli FRAGOLA S.p.a. Мощность завода составляет 262 800 тонн в год.</w:t>
      </w:r>
    </w:p>
    <w:p>
      <w:pPr>
        <w:pStyle w:val="Heading3"/>
      </w:pPr>
      <w:r>
        <w:t>Фрагмент docs/graphify-corpus/01-vvedenie-i-resume.md:404–413</w:t>
      </w:r>
    </w:p>
    <w:p>
      <w:r>
        <w:t>Компания будет располагаться собственной бойней, расположенной на производственной площадке, что позволяет избежать стресса у кроликов при транспортировке к месту убоя. Современная бойня будет спроектирована и изготовлена итальянской компанией «SINT TECHNOLOGY». Производственная мощность будет составлять 2400 голов в час.</w:t>
      </w:r>
    </w:p>
    <w:p>
      <w:r>
        <w:t>Кроме того, планируем установить установку для компостирования, предназначенную для переработки навоза животных и отходов с боен. Это оборудование позволяет производить высококачественный компост, который является натуральным удобрением. Производственная мощность будет составлять 43 800,0 тонн в год.</w:t>
        <w:br/>
        <w:t>Мы планируем установить на крышах кролиководческих ферм солнечные фотоэлектрические панели в комплекте с аккумуляторными батареями.</w:t>
      </w:r>
    </w:p>
    <w:p>
      <w:r>
        <w:t>1- Солнечные фотоэлектрические панели в комплекте с аккумуляторами.</w:t>
        <w:br/>
        <w:t>Мощность: 10 МВт-часов.</w:t>
        <w:br/>
        <w:t>Годовая производственная мощность:</w:t>
        <w:br/>
        <w:t>Электроэнергия — 22 000 МВт. час;</w:t>
        <w:br/>
        <w:t>Планируемый ежедневный объём поставок — 60 МВт-час.</w:t>
      </w:r>
    </w:p>
    <w:p>
      <w:pPr>
        <w:pStyle w:val="Heading3"/>
      </w:pPr>
      <w:r>
        <w:t>Фрагмент docs/graphify-corpus/01-vvedenie-i-resume.md:420–426</w:t>
      </w:r>
    </w:p>
    <w:p>
      <w:r>
        <w:t>Относительно инфраструктуры проекта:</w:t>
        <w:br/>
        <w:t>Вода будет обеспечиваться из собственной артезианской скважины, расположенной на территории объекта.</w:t>
        <w:br/>
        <w:t>Газ будет использоваться исключительно для хозяйственно-бытовых нужд.</w:t>
        <w:br/>
        <w:t>Электроэнергия будет генерироваться с помощью солнечных фотоэлектрических панелей.</w:t>
      </w:r>
    </w:p>
    <w:p>
      <w:r>
        <w:t>Проектная мощность установок позволяет производить больше энергии, чем необходимо для внутреннего потребления. Излишки электроэнергии будут продаваться государству.</w:t>
      </w:r>
    </w:p>
    <w:p>
      <w:pPr>
        <w:pStyle w:val="Heading3"/>
      </w:pPr>
      <w:r>
        <w:t>Фрагмент docs/graphify-corpus/01-vvedenie-i-resume.md:443–453</w:t>
      </w:r>
    </w:p>
    <w:p>
      <w:r>
        <w:t>Экспортная стратегия</w:t>
        <w:br/>
        <w:t>100% черной икры планируется экспортировать, что позволит полностью использовать высокий спрос на данный продукт на международных рынках, особенно в странах Азии, СНГ и арабских государствах. Экспортный подход также способствует укреплению позиций компании на глобальном рынке и увеличению прибыли.</w:t>
      </w:r>
    </w:p>
    <w:p>
      <w:r>
        <w:t>Использование солнечных фотоэлектрических панелей.</w:t>
        <w:br/>
        <w:t>Мы планируем установить солнечные фотоэлектрические панели на крышах наших рыбоводческих ферм в комплекте с аккумуляторными батареями.</w:t>
        <w:br/>
        <w:t>Это позволит нам эффективно использовать возобновляемую солнечную энергию для обеспечения потребностей ферм в электроэнергии, а также снизить углеродный след производства. Накопленная энергия будет использоваться для работы оборудования, систем освещения, отопления и других нужд фермерского комплекса.</w:t>
      </w:r>
    </w:p>
    <w:p>
      <w:r>
        <w:t>1- Солнечные фотоэлектрические панели в комплекте с аккумуляторами.</w:t>
        <w:br/>
        <w:t>Мощность: 20 МВт-часов.</w:t>
        <w:br/>
        <w:t>Годовая производственная мощность:</w:t>
        <w:br/>
        <w:t>Электроэнергия — 44 000 МВт. час;</w:t>
      </w:r>
    </w:p>
    <w:p>
      <w:pPr>
        <w:pStyle w:val="Heading3"/>
      </w:pPr>
      <w:r>
        <w:t>Фрагмент docs/graphify-corpus/01-vvedenie-i-resume.md:465–471</w:t>
      </w:r>
    </w:p>
    <w:p>
      <w:r>
        <w:t>Вода будет обеспечиваться из собственной артезианской скважины, расположенной на территории объекта.</w:t>
        <w:br/>
        <w:t>Газ будет использоваться исключительно для хозяйственно-бытовых нужд.</w:t>
        <w:br/>
        <w:t>Электроэнергия будет генерироваться с помощью солнечных фотоэлектрических панелей.</w:t>
      </w:r>
    </w:p>
    <w:p>
      <w:r>
        <w:t>Проектная мощность установок позволяет производить больше энергии, чем необходимо для внутреннего потребления. Излишки электроэнергии будут продаваться государству.</w:t>
      </w:r>
    </w:p>
    <w:p>
      <w:pPr>
        <w:pStyle w:val="Heading3"/>
      </w:pPr>
      <w:r>
        <w:t>Фрагмент docs/graphify-corpus/01-vvedenie-i-resume.md:522–535</w:t>
      </w:r>
    </w:p>
    <w:p>
      <w:r>
        <w:t>Совокупность этих факторов позволяет значительно сократить затраты на производство, повысить энергоэффективность и улучшить финансовые результаты, что, в свою очередь, снижает себестоимость выращиваемых овощей и делает нашу продукцию более конкурентоспособной на рынке.</w:t>
      </w:r>
    </w:p>
    <w:p>
      <w:r>
        <w:t>МАСЛОЖИРОВОЙ КОМБИНАТ</w:t>
        <w:br/>
        <w:t>Мы планируем организовать производство подсолнечного масла, соевого масла и маргарина.</w:t>
      </w:r>
    </w:p>
    <w:p>
      <w:r>
        <w:t>Годовая производственная мощность:</w:t>
        <w:br/>
        <w:t>Подсолнечное масло — 27 870 т;</w:t>
        <w:br/>
        <w:t>Соевое масло — 22 130 т;</w:t>
        <w:br/>
        <w:t>Маргарин – 33 000 т;</w:t>
        <w:br/>
        <w:t>Цены реализации:</w:t>
        <w:br/>
        <w:t>Подсолнечное масло — 80 рублей за кг;</w:t>
        <w:br/>
        <w:t>Соевое масло — 200 рублей за кг;</w:t>
        <w:br/>
        <w:t>Маргарин — 200 рублей за кг;</w:t>
      </w:r>
    </w:p>
    <w:p>
      <w:pPr>
        <w:pStyle w:val="Heading3"/>
      </w:pPr>
      <w:r>
        <w:t>Фрагмент docs/graphify-corpus/01-vvedenie-i-resume.md:580–586</w:t>
      </w:r>
    </w:p>
    <w:p>
      <w:r>
        <w:t>Краткосрочные цели:</w:t>
      </w:r>
    </w:p>
    <w:p>
      <w:r>
        <w:t>Организация производства продовольственных товаров в широком ассортименте, включая мясо, масло, маргарин, овощи, желатин и другие продукты, с получением соответствующих сертификатов качества и соответствия стандартам.</w:t>
        <w:br/>
        <w:t>Запуск тепличных комплексов и фермерских хозяйств, создание кормовой базы, установка биогазовых установок, газопорщневой установки и ТЭЦ, а также солнечных панелей для обеспечения устойчивого производства.</w:t>
        <w:br/>
        <w:t>Налаживание экспортных поставок продукции в страны Азии, СНГ и арабские государства.</w:t>
      </w:r>
    </w:p>
    <w:p>
      <w:r>
        <w:t>Долгосрочные цели:</w:t>
      </w:r>
    </w:p>
    <w:p>
      <w:pPr>
        <w:pStyle w:val="Heading3"/>
      </w:pPr>
      <w:r>
        <w:t>Фрагмент docs/graphify-corpus/01-vvedenie-i-resume.md:609–615</w:t>
      </w:r>
    </w:p>
    <w:p>
      <w:r>
        <w:t>Ключевые экономические показатели эффективности проекта</w:t>
      </w:r>
    </w:p>
    <w:p>
      <w:r>
        <w:t>Кролиководческая ферма</w:t>
        <w:br/>
        <w:t>Табл. 4</w:t>
        <w:br/>
        <w:t>Период расчета интегральных показателей - 120 месяцев (10 лет).</w:t>
        <w:br/>
        <w:t>Тепличный комплекс</w:t>
      </w:r>
    </w:p>
    <w:p>
      <w:pPr>
        <w:pStyle w:val="Heading3"/>
      </w:pPr>
      <w:r>
        <w:t>Фрагмент docs/graphify-corpus/01-vvedenie-i-resume.md:628–642</w:t>
      </w:r>
    </w:p>
    <w:p>
      <w:r>
        <w:t>Период расчета интегральных показателей - 120 месяцев (10 лет).</w:t>
      </w:r>
    </w:p>
    <w:p>
      <w:r>
        <w:t>Highlights проекта</w:t>
        <w:br/>
        <w:t>Инновационный подход: Внедрение современных технологий в производство (например, биогазовая установка, газопорщневая уставновка, ТЭЦ, тепличные комплексы по голландской технологии, солнечные панели для обеспечения энергии).</w:t>
        <w:br/>
        <w:t>Экологичность и устойчивое развитие: Использование альтернативных источников энергии, таких как биогаз и солнечные панели, для снижения углеродного следа, повышения энергоэффективности и устойчивости производства.</w:t>
        <w:br/>
        <w:t>Высококачественная продукция: Производство мяса (в том числе нежного мяса телятины и ягненка, мраморного мяса говядины, нежного мяса кролика), кожи, желатина, а также овощей и цветов в крупном объеме, соответствующих высоким стандартам качества, с получением соответствующих сертификатов.</w:t>
        <w:br/>
        <w:t>Сертификация продукции: Планируется получение международных сертификатов качества, а также таких документов, как сертификат происхождения и экологические сертификаты, для обеспечения безопасности и высокого качества продукции.</w:t>
        <w:br/>
        <w:t>Экспортный потенциал: Ожидаемый экспорт продукции в страны Азии, СНГ и арабских государств, где высок спрос на качественные и сертифицированные продукты.</w:t>
        <w:br/>
        <w:t>Разведение высокопродуктивных пород: Разведение таких пород крупного рогатого скота, как Кьянина, Маркиджиана и Лимузин, а также овец пород Меринос, Суффолк и Дорпер, для повышения мясной и шерстной продуктивности.</w:t>
        <w:br/>
        <w:t>Развитие кормовой базы: Планируется создание собственной кормовой базы с использованием современных сельскохозяйственных технологий.</w:t>
        <w:br/>
        <w:t>Высокая производственная мощность: Заводы, теплицы и перерабатывающие комплексы обеспечат значительный объем продукции, что позволит достичь высокой конкурентоспособности на рынке.</w:t>
        <w:br/>
        <w:t>Использование солнечных панелей: Установка солнечных панелей для снабжения энергии, что позволит снизить себестоимость продукции, зависимость от традиционных источников энергии и повысить экологичность проекта.</w:t>
        <w:br/>
        <w:t>Глубокая переработка побочных продуктов и отходов животноводства: Включение переработки шкур, лап, головы, крови и навоза скота. Использование современных технологий для выделки шкуры без ножа, переработка шкур до 5 слоев кожи, а также переработка побочных продуктов для производства желатина и других добавок. Это позволит не только снизить себестоимость мяса, но и повысить прибыльность проекта за счет использования всех частей животного и отходов.</w:t>
        <w:br/>
        <w:t>Снижение себестоимости мяса: Благодаря глубокой переработке побочных продуктов и отходов животноводства, проект снизит себестоимость мяса, обеспечивая более высокую эффективность производства и минимизируя отходы.</w:t>
        <w:br/>
        <w:t>Черная икра белуги: Включение производства черной икры белуги, что добавит дополнительную ценность и разнообразие в ассортимент продукции, расширяя его потенциал для премиум-сегмента рынка.</w:t>
      </w:r>
    </w:p>
    <w:p>
      <w:pPr>
        <w:pStyle w:val="Heading3"/>
      </w:pPr>
      <w:r>
        <w:t>Фрагмент docs/graphify-corpus/01-vvedenie-i-resume.md:703–709</w:t>
      </w:r>
    </w:p>
    <w:p>
      <w:pPr>
        <w:pStyle w:val="Heading3"/>
      </w:pPr>
      <w:r>
        <w:t>2.2. Положение на рынке, существующие деловые связи и деловая репутация.</w:t>
      </w:r>
    </w:p>
    <w:p>
      <w:r>
        <w:t>ООО «МОЯ МЕЧТА» создано с целью производства продовольственных товаров, включая кроличьего мяса, говядины, телятины, баранина, ягнятина, молочные продукты, овощи, цветов, подсолнечного масло, соевого масло, маргарина и черную икру. Продукция компании предназначена для насыщения внутреннего рынка Российской Федерации, а также для экспорта в зарубежные страны.</w:t>
      </w:r>
    </w:p>
    <w:p>
      <w:r>
        <w:t>---</w:t>
      </w:r>
    </w:p>
    <w:p>
      <w:pPr>
        <w:pStyle w:val="Heading3"/>
      </w:pPr>
      <w:r>
        <w:t>Фрагмент docs/graphify-corpus/01-vvedenie-i-resume.md:711–717</w:t>
      </w:r>
    </w:p>
    <w:p>
      <w:pPr>
        <w:pStyle w:val="Heading2"/>
      </w:pPr>
      <w:r>
        <w:t>2.3. Потенциал, существующий и прогнозируемый.</w:t>
      </w:r>
    </w:p>
    <w:p>
      <w:r>
        <w:t>I-ФАЗА ПРОЕКТА</w:t>
        <w:br/>
        <w:t>Кролиководческая ферма</w:t>
      </w:r>
    </w:p>
    <w:p>
      <w:r>
        <w:t>Ферма будет состоит из 81 цехов, из них:</w:t>
      </w:r>
    </w:p>
    <w:p>
      <w:pPr>
        <w:pStyle w:val="Heading3"/>
      </w:pPr>
      <w:r>
        <w:t>Фрагмент docs/graphify-corpus/01-vvedenie-i-resume.md:799–805</w:t>
      </w:r>
    </w:p>
    <w:p>
      <w:r>
        <w:t>Этот проект направлен на улучшение качества и доступности мяса, а также создание новых рабочих мест и укрепление местной экономики.</w:t>
      </w:r>
    </w:p>
    <w:p>
      <w:r>
        <w:t>Дополнительные мощности для кролиководческой фермы</w:t>
      </w:r>
    </w:p>
    <w:p>
      <w:r>
        <w:t>Комбикормовый завод. Завод по производству комбикормов. Все оборудование будет поставлено и установлено известной итальянской компанией «F.LLI FRAGOLA S.P.A.», которая является мировым лидером по производству заводов по производству комбикормов. Мощность завода – 27-30 тонна в час или 262 800,00 тонн комбикорма в год.</w:t>
      </w:r>
    </w:p>
    <w:p>
      <w:pPr>
        <w:pStyle w:val="Heading3"/>
      </w:pPr>
      <w:r>
        <w:t>Фрагмент docs/graphify-corpus/01-vvedenie-i-resume.md:809–815</w:t>
      </w:r>
    </w:p>
    <w:p>
      <w:r>
        <w:t>Цех по производству натурального удобрения из навоза кроликов. Установка компостирования для переработки навоза животных и отходов боен. Оборудование после переработки производит компост/натуральное удобрение. Мощность завода – 5,0 тонн в час или 43 800,0 тонн удобрения в год.</w:t>
      </w:r>
    </w:p>
    <w:p>
      <w:r>
        <w:t>Солнечные панели для обеспечения кролиководческой фермы зеленой энергией. Нами будет установлена на крыше кролиководческой фермы солнечные фотоэлектрические панели в комплекте с аккумуляторами. Мощность: 10 МВт. час.</w:t>
      </w:r>
    </w:p>
    <w:p>
      <w:r>
        <w:t>I-ФАЗА ПРОЕКТА</w:t>
      </w:r>
    </w:p>
    <w:p>
      <w:pPr>
        <w:pStyle w:val="Heading3"/>
      </w:pPr>
      <w:r>
        <w:t>Фрагмент docs/graphify-corpus/01-vvedenie-i-resume.md:881–887</w:t>
      </w:r>
    </w:p>
    <w:p>
      <w:r>
        <w:t>Организация производства экологически чистых продуктов: Применение органических и безопасных методов производства.</w:t>
        <w:br/>
        <w:t>Экспорт готовой продукции на международные рынки: Выход на международные рынки, включая страны СНГ, Азии и арабские государства.</w:t>
        <w:br/>
        <w:t>Продажа продовольственных товаров по доступным ценам: Обеспечение доступности качественных продуктов для широких слоев населения.</w:t>
        <w:br/>
        <w:t>Организация зеленой энергии: Использование экологически чистых источников энергии, таких как солнечные панели и биогазовые установки.</w:t>
        <w:br/>
        <w:t>Организация торговых сетей: Развитие сети торговых точек для распространения собственной продукции.</w:t>
        <w:br/>
        <w:t>Развитие разведения кроликов, крупного рогатого скота, малого рогатого скота и рыб: Мы нацелены на разведение высокопродуктивных кроликов, крупного и малого рогатого скота, а также осетровых рыб, соответствующих европейским стандартам качества. Это позволит не только насытить внутренний рынок, но и обеспечить экспорт в соседние страны.</w:t>
        <w:br/>
        <w:t>Организация производства продовольственных товаров: Мы планируем организовать производство экологически чистых продуктов, таких как кроличьего мяса, говядины, телятины, баранина, ягнятины, субпродуктов, молочные продукты, овощи и черную икру.</w:t>
      </w:r>
    </w:p>
    <w:p>
      <w:pPr>
        <w:pStyle w:val="Heading3"/>
      </w:pPr>
      <w:r>
        <w:t>Фрагмент docs/graphify-corpus/01-vvedenie-i-resume.md:951–965</w:t>
      </w:r>
    </w:p>
    <w:p>
      <w:r>
        <w:t>Продажа продовольственных товаров по доступным ценам.</w:t>
        <w:br/>
        <w:t>Для обеспечения продовольственной безопасности населения РФ и доступности мяса для населения с низким доходом, мы планируем предложить мясо по более низким ценам, чем на рынке.</w:t>
      </w:r>
    </w:p>
    <w:p>
      <w:r>
        <w:t>Зеленая энергия. Мы планируем установить солнечные панели</w:t>
      </w:r>
    </w:p>
    <w:p>
      <w:r>
        <w:t>мощностью 10 МВт в час для обеспечения энергией кролиководческой фермы;</w:t>
        <w:br/>
        <w:t>мощностью 20 МВт в час для обеспечения энергией животноводческой фермы;</w:t>
        <w:br/>
        <w:t>мощностью 20 МВт в час для обеспечения энергией рыбоводческой фермы;</w:t>
      </w:r>
    </w:p>
    <w:p>
      <w:r>
        <w:t>В целях решения проблем кормовой базы, мы планируем создать посевные площади сельхоз культур на площади 80 000,00 гектаров, из них:</w:t>
      </w:r>
    </w:p>
    <w:p>
      <w:r>
        <w:t>34 000,00 га-для посева подсолнечника;</w:t>
        <w:br/>
        <w:t>34 000,00 га-для посева сои;</w:t>
        <w:br/>
        <w:t>12 000,00 га-для посева других сельхоз культур;</w:t>
      </w:r>
    </w:p>
    <w:p>
      <w:pPr>
        <w:pStyle w:val="Heading3"/>
      </w:pPr>
      <w:r>
        <w:t>Фрагмент docs/graphify-corpus/01-vvedenie-i-resume.md:1048–1054</w:t>
      </w:r>
    </w:p>
    <w:p>
      <w:r>
        <w:t>или до 6,0 млн. единиц племенных кроликов F1;</w:t>
      </w:r>
    </w:p>
    <w:p>
      <w:r>
        <w:t>Инженерные коммуникации:</w:t>
        <w:br/>
        <w:t>Электроэнергия – 1250,0 кВт/час. Источник: солнечные панели на крыше фермы, мощностью 10,0 МВт. час;</w:t>
        <w:br/>
        <w:t>Потребление природного газа для хозяйственно-бытовых нужд – 35 м3/час;</w:t>
        <w:br/>
        <w:t>Водоснабжение – 72,0 м3/час. Источник: собственная артезианская скважина.</w:t>
        <w:br/>
        <w:t>Режим работы: 24 часа в сутки, 365 дней в год.</w:t>
      </w:r>
    </w:p>
    <w:p>
      <w:pPr>
        <w:pStyle w:val="Heading3"/>
      </w:pPr>
      <w:r>
        <w:t>Фрагмент docs/graphify-corpus/01-vvedenie-i-resume.md:1060–1066</w:t>
      </w:r>
    </w:p>
    <w:p>
      <w:r>
        <w:t>262 800,0 тонн комбикорма в год;</w:t>
      </w:r>
    </w:p>
    <w:p>
      <w:r>
        <w:t>Инженерные коммуникации:</w:t>
        <w:br/>
        <w:t>Электроэнергия – 1380,0 кВт/час. Источник: солнечные панели, мощностью 10,0 МВт. час+20 МВт. час + Биогазовая установка;</w:t>
        <w:br/>
        <w:t>Потребление природного газа для хозяйственно-бытовых нужд – 25 м3/час;</w:t>
        <w:br/>
        <w:t>Водоснабжение – 21,0 м3/час. Источник: собственная артезианская скважина.</w:t>
        <w:br/>
        <w:t>Режим работы: 24 часа в сутки, 365 дней в год.</w:t>
      </w:r>
    </w:p>
    <w:p>
      <w:pPr>
        <w:pStyle w:val="Heading3"/>
      </w:pPr>
      <w:r>
        <w:t>Фрагмент docs/graphify-corpus/01-vvedenie-i-resume.md:1072–1078</w:t>
      </w:r>
    </w:p>
    <w:p>
      <w:r>
        <w:t>21 024 000,0 голов в год;</w:t>
      </w:r>
    </w:p>
    <w:p>
      <w:r>
        <w:t>Инженерные коммуникации:</w:t>
        <w:br/>
        <w:t>Электроэнергия – 750,0 кВт/час. Источник: солнечные панели, мощностью 10,0 МВт. час+20 МВт. час + Биогазовая установка;</w:t>
        <w:br/>
        <w:t>Потребление природного газа для хозяйственно-бытовых нужд – 15 м3/час;</w:t>
        <w:br/>
        <w:t>Водоснабжение – 3,0 м3/час. Источник: собственная артезианская скважина.</w:t>
        <w:br/>
        <w:t>Режим работы: 24 часа в сутки, 365 дней в год.</w:t>
      </w:r>
    </w:p>
    <w:p>
      <w:pPr>
        <w:pStyle w:val="Heading3"/>
      </w:pPr>
      <w:r>
        <w:t>Фрагмент docs/graphify-corpus/01-vvedenie-i-resume.md:1084–1095</w:t>
      </w:r>
    </w:p>
    <w:p>
      <w:r>
        <w:t>43 800,0 тонн в год;</w:t>
      </w:r>
    </w:p>
    <w:p>
      <w:r>
        <w:t>Инженерные коммуникации:</w:t>
        <w:br/>
        <w:t>Электроэнергия – 525,0 кВт/час. Источник: солнечные панели, мощностью 10,0 МВт. час+20 МВт. час + Биогазовая установка;</w:t>
        <w:br/>
        <w:t>Потребление природного газа для хозяйственно-бытовых нужд – 15 м3/час;</w:t>
        <w:br/>
        <w:t>Водоснабжение – 3,0 м3/час. Источник: собственная артезианская скважина.</w:t>
        <w:br/>
        <w:t>Режим работы: 24 часа в сутки, 365 дней в год.</w:t>
      </w:r>
    </w:p>
    <w:p>
      <w:r>
        <w:t>Солнечные фотоэлектрические панели будет поставлена американской компанией «ASTORIOS HOLDING INC», мощность 10 МВт. час.</w:t>
      </w:r>
    </w:p>
    <w:p>
      <w:r>
        <w:t>Сельхозтехника для выращивания сельхозпродукции</w:t>
      </w:r>
    </w:p>
    <w:p>
      <w:pPr>
        <w:pStyle w:val="Heading3"/>
      </w:pPr>
      <w:r>
        <w:t>Фрагмент docs/graphify-corpus/01-vvedenie-i-resume.md:1195–1201</w:t>
      </w:r>
    </w:p>
    <w:p>
      <w:r>
        <w:t>50 000,0 тонн - молочные продукты.</w:t>
      </w:r>
    </w:p>
    <w:p>
      <w:r>
        <w:t>Инженерные коммуникации:</w:t>
        <w:br/>
        <w:t>Электроэнергия – 2 010,0 кВт/час. Источник: солнечные панели на крыше фермы, мощностью 20,0 МВт. час + Биогазовая установка;</w:t>
        <w:br/>
        <w:t>Потребление природного газа для хозяйственно-бытовых нужд – 15 м3/час;</w:t>
        <w:br/>
        <w:t>Водоснабжение – 154,0 м3/час. Источник: собственная артезианская скважина.</w:t>
        <w:br/>
        <w:t>Режим работы: 24 часа в сутки, 365 дней в год.</w:t>
      </w:r>
    </w:p>
    <w:p>
      <w:pPr>
        <w:pStyle w:val="Heading3"/>
      </w:pPr>
      <w:r>
        <w:t>Фрагмент docs/graphify-corpus/01-vvedenie-i-resume.md:1208–1214</w:t>
      </w:r>
    </w:p>
    <w:p>
      <w:r>
        <w:t>4 380 000,0 голов овец в час;</w:t>
      </w:r>
    </w:p>
    <w:p>
      <w:r>
        <w:t>Инженерные коммуникации:</w:t>
        <w:br/>
        <w:t>Электроэнергия – 1 050,0 кВт/час. Источник: солнечные панели на крыше фермы, мощностью 20,0 МВт. час;</w:t>
        <w:br/>
        <w:t>Потребление природного газа для хозяйственно-бытовых нужд – 10,0 м3/час;</w:t>
        <w:br/>
        <w:t>Водоснабжение – 4,0 м3/час. Источник: собственная артезианская скважина.</w:t>
        <w:br/>
        <w:t>Режим работы: 24 часа в сутки, 365 дней в год.</w:t>
      </w:r>
    </w:p>
    <w:p>
      <w:pPr>
        <w:pStyle w:val="Heading3"/>
      </w:pPr>
      <w:r>
        <w:t>Фрагмент docs/graphify-corpus/01-vvedenie-i-resume.md:1222–1228</w:t>
      </w:r>
    </w:p>
    <w:p>
      <w:r>
        <w:t>Инженерные коммуникации:</w:t>
      </w:r>
    </w:p>
    <w:p>
      <w:r>
        <w:t>Электроэнергия – 1 250 кВт/час. Источник: солнечные панели на крыше фермы, мощностью 20,0 МВт. час + Биогазовая установка;</w:t>
        <w:br/>
        <w:t>Потребление природного газа для хозяйственно-бытовых нужд – 10,0 м3/час;</w:t>
        <w:br/>
        <w:t>Водоснабжение – 4,0 м3/час. Источник: собственная артезианская скважина.</w:t>
        <w:br/>
        <w:t>Режим работы: 24 часа в сутки, 365 дней в год.</w:t>
      </w:r>
    </w:p>
    <w:p>
      <w:pPr>
        <w:pStyle w:val="Heading3"/>
      </w:pPr>
      <w:r>
        <w:t>Фрагмент docs/graphify-corpus/01-vvedenie-i-resume.md:1235–1241</w:t>
      </w:r>
    </w:p>
    <w:p>
      <w:r>
        <w:t>7 300,0 тонн в год;</w:t>
        <w:br/>
        <w:t>Инженерные коммуникации:</w:t>
      </w:r>
    </w:p>
    <w:p>
      <w:r>
        <w:t>Электроэнергия – 1 100,0 кВт/час. Источник: солнечные панели на крыше фермы, мощностью 20,0 МВт. час + Биогазовая установка;</w:t>
        <w:br/>
        <w:t>Потребление природного газа – 300 м3/час;</w:t>
        <w:br/>
        <w:t>Водоснабжение – 4,0 м3/час. Источник: собственная артезианская скважина.</w:t>
        <w:br/>
        <w:t>Режим работы: 24 часа в сутки, 365 дней в год.</w:t>
      </w:r>
    </w:p>
    <w:p>
      <w:pPr>
        <w:pStyle w:val="Heading3"/>
      </w:pPr>
      <w:r>
        <w:t>Фрагмент docs/graphify-corpus/01-vvedenie-i-resume.md:1246–1252</w:t>
      </w:r>
    </w:p>
    <w:p>
      <w:r>
        <w:t>10 000,0 кг в час по сырье;</w:t>
        <w:br/>
        <w:t>87 600,0 тонн в год по сырье;</w:t>
        <w:br/>
        <w:t>Инженерные коммуникации:</w:t>
        <w:br/>
        <w:t>Электроэнергия – 1 650 кВт/час. Источник: солнечные панели на крыше фермы, мощностью 20,0 МВт. час + Биогазовая установка;</w:t>
        <w:br/>
        <w:t>Потребление природного газа для хозяйственно-бытовых нужд – 10 м3/час;</w:t>
        <w:br/>
        <w:t>Водоснабжение – 4,0 м3/час. Источник: собственная артезианская скважина.</w:t>
        <w:br/>
        <w:t>Режим работы: 24 часа в сутки, 365 дней в год.</w:t>
      </w:r>
    </w:p>
    <w:p>
      <w:pPr>
        <w:pStyle w:val="Heading3"/>
      </w:pPr>
      <w:r>
        <w:t>Фрагмент docs/graphify-corpus/01-vvedenie-i-resume.md:1257–1263</w:t>
      </w:r>
    </w:p>
    <w:p>
      <w:r>
        <w:t>2 920 000,0 м3 в год;</w:t>
      </w:r>
    </w:p>
    <w:p>
      <w:r>
        <w:t>Инженерные коммуникации:</w:t>
        <w:br/>
        <w:t>Электроэнергия –80 кВт/час. Источник: солнечные панели на крыше фермы, мощностью 20,0 МВт. час + Биогазовая установка;</w:t>
        <w:br/>
        <w:t>Потребление природного газа для хозяйственно-бытовых нужд –0 м3/час;</w:t>
        <w:br/>
        <w:t>Водоснабжение – 0,0 м3/час. Источник: собственная артезианская скважина.</w:t>
        <w:br/>
        <w:t>Режим работы: 24 часа в сутки, 365 дней в год.</w:t>
      </w:r>
    </w:p>
    <w:p>
      <w:pPr>
        <w:pStyle w:val="Heading3"/>
      </w:pPr>
      <w:r>
        <w:t>Фрагмент docs/graphify-corpus/01-vvedenie-i-resume.md:1283–1296</w:t>
      </w:r>
    </w:p>
    <w:p>
      <w:r>
        <w:t>4 380,00 тонн в год;</w:t>
      </w:r>
    </w:p>
    <w:p>
      <w:r>
        <w:t>Инженерные коммуникации:</w:t>
        <w:br/>
        <w:t>Электроэнергия – 190кВт/час. Источник: солнечные панели на крыше фермы, мощностью 20,0 МВт. час + Биогазовая установка;</w:t>
        <w:br/>
        <w:t>Потребление природного газа для хозяйственно-бытовых нужд – 10 м3/час;</w:t>
        <w:br/>
        <w:t>Водоснабжение – 4,0 м3/час. Источник: собственная артезианская скважина.</w:t>
        <w:br/>
        <w:t>Режим работы: 24 часа в сутки, 365 дней в год.</w:t>
      </w:r>
    </w:p>
    <w:p>
      <w:r>
        <w:t>Солнечные фотоэлектрические панели с аккумулятором в комплекте, мощностью 20 МВт. час</w:t>
      </w:r>
    </w:p>
    <w:p>
      <w:r>
        <w:t>Солнечные часы для Херсонской области – 2 200 час в год.</w:t>
      </w:r>
    </w:p>
    <w:p>
      <w:r>
        <w:t>Ген план животноводческой фермы</w:t>
      </w:r>
    </w:p>
    <w:p>
      <w:pPr>
        <w:pStyle w:val="Heading3"/>
      </w:pPr>
      <w:r>
        <w:t>Фрагмент docs/graphify-corpus/01-vvedenie-i-resume.md:1509–1515</w:t>
      </w:r>
    </w:p>
    <w:p>
      <w:r>
        <w:t>Инженерные коммуникации:</w:t>
      </w:r>
    </w:p>
    <w:p>
      <w:r>
        <w:t>Электроэнергия – 5040,0 кВт/час. Источник: солнечные панели на крыше фермы, мощностью 20,0 МВт. час;</w:t>
        <w:br/>
        <w:t>Потребление природного газа для хозяйственно-бытовых нужд – 10 м3/час;</w:t>
        <w:br/>
        <w:t>Водоснабжение – 424 м3/час. Источник: собственная артезианская скважина.</w:t>
        <w:br/>
        <w:t>Режим работы: 24 часа в сутки, 365 дней в год.</w:t>
      </w:r>
    </w:p>
    <w:p>
      <w:pPr>
        <w:pStyle w:val="Heading3"/>
      </w:pPr>
      <w:r>
        <w:t>Фрагмент docs/graphify-corpus/01-vvedenie-i-resume.md:1546–1552</w:t>
      </w:r>
    </w:p>
    <w:p>
      <w:r>
        <w:t>Масложировой комбинат</w:t>
      </w:r>
    </w:p>
    <w:p>
      <w:r>
        <w:t>5.1. Линия для производства подсолнечного и соевого масла</w:t>
      </w:r>
    </w:p>
    <w:p>
      <w:r>
        <w:t>Годовая производственная мощность:</w:t>
      </w:r>
    </w:p>
    <w:p>
      <w:pPr>
        <w:pStyle w:val="Heading3"/>
      </w:pPr>
      <w:r>
        <w:t>Фрагмент docs/graphify-corpus/01-vvedenie-i-resume.md:1629–1635</w:t>
      </w:r>
    </w:p>
    <w:p>
      <w:r>
        <w:t>Кролиководство в России неспешно перемещается из категории домашнего хозяйства в промышленный сектор. Сейчас в моде здоровое питание, поэтому спрос на крольчатину растет с каждым днем, ведь мясо кролика – диетический и гипоаллергенный продукт.</w:t>
        <w:br/>
        <w:t>Этот сегмент животноводства имеет прекрасный потенциал для роста, в период с 2015 до 2020 года производство кроличьего мяса уже увеличилось на 72%.</w:t>
        <w:br/>
        <w:t>Прогнозы развития кролиководства в России</w:t>
        <w:br/>
        <w:t>Структура рынка производства мяса кролика в России очень любопытная – только 15% приходится на промышленный сектор. В основном кроликов разводят в личных подсобных хозяйствах, на домашних фермах и т.д. Продовольственное эмбарго (запрет на импорт мяса кролика) в 2014 г. подтолкнуло российских производителей к самостоятельному производству, высвободив нишу от иностранных конкурентов. Но несмотря на то, что в магазинах всё чаще встречается мясо кролика, произведенное на крупных кролиководческих комплексах, крольчатина остается фермерским продуктом.</w:t>
        <w:br/>
        <w:t>Потенциал рынка</w:t>
        <w:br/>
        <w:t>Спрос на мясо кролика в России растет с каждым днем, но остается неудовлетворенным, а конкуренция практически совсем отсутствует. Эксперты утверждают, что рынок кролиководства не занят даже наполовину. Связано это с большим количеством сдерживающих факторов: высокая цена, слабо развитая культура потребления кролика, плохая информационная поддержка – необходимо популяризировать этот вид мяса в обществе, акцентируя внимание на его полезных свойствах. Также влияет отсутствие государственной поддержки бизнеса кролиководства и дефицит грамотных специалистов.</w:t>
      </w:r>
    </w:p>
    <w:p>
      <w:pPr>
        <w:pStyle w:val="Heading3"/>
      </w:pPr>
      <w:r>
        <w:t>Фрагмент docs/graphify-corpus/01-vvedenie-i-resume.md:1642–1653</w:t>
      </w:r>
    </w:p>
    <w:p>
      <w:r>
        <w:t>Необходимо также наладить финансовую и правовую помощь государства в виде субсидий, грантов и выплат. Союзом кролиководов и Минсельхозом был разработан проект программы по развитию кролиководства и увеличению производства продукции кролиководства в России на 2020-2025 годы. Новый показатель потребления мяса кролика на душу населения равен 500 г в год. Для достижения этого плана нужно увеличить промышленное поголовье до 970 тыс. кроликов, что принесет 73 тыс.т. мяса в год.</w:t>
      </w:r>
    </w:p>
    <w:p>
      <w:r>
        <w:t>Ниже приводится перечень некоторых современных ферм.</w:t>
        <w:br/>
        <w:t>1. ООО «Русский кролик» (Костромская область, Костромской район, с. Кузнецово, д.47). В настоящее время реализован инвестиционный проект кролиководческого комплекса промышленного типа на 9600 маточного поголовья. Объем производства составляет от 300 – 500 тонн мяса в год, 85 тонн субпродуктов и 8 тонн полуфабрикатов.</w:t>
        <w:br/>
        <w:t>2. ООО «Российский кроликЪ» (Республика Татарстан, г. Казань, Петербургская, 50). Валовое производство крольчатины, по данным предприятия, составляет до 500 тонн в год.</w:t>
        <w:br/>
        <w:t>3. ЗАО АПКК «Рощинский» (Тюменская область, Тюменский район, с. Горьковка, ул. Совхозная, д. 28) открыл новую ферму промышленного типа на 1 000 кроликоматок.</w:t>
        <w:br/>
        <w:t>4. ООО «Раббит» (Уральский Федеральный округ, Свердловская обл., г. Екатеринбург, с. Седельниково) крупнейший кролиководческий автоматизированный комплекс промышленного типа в федеральном округе. Поголовье кроликов достигает 30000 особей.</w:t>
        <w:br/>
        <w:t>5. «Крол-инфо» (Московская область, Мытищинский район, д. Подрезово). Ферма промышленного типа с поголовьем 6 000 голов.</w:t>
        <w:br/>
        <w:t>6. ООО «АПК Занино» Тульской области (Тульская область, п. Заокский, 3-й проезд, д. 1, кв. Кролиководческая ферма оснащена более чем 2 500 мини-фермами.</w:t>
        <w:br/>
        <w:t>7. ООО «Крол и Ко» располагается в Гагаринском районе Смоленской области. Племенной репродуктор по породе новозеландская белая. Поголовье крольчих 33,8 тыс. голов.</w:t>
        <w:br/>
        <w:t>8. В Ставропольском крае в Предгорном округе самое крупное предприятие по бройлерному получению мяса кролика породы – Хила. В нем более 25 тыс. голов, производят до 140 тонн в год.</w:t>
        <w:br/>
        <w:t>9. ООО «Омский кролик» Омская область.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