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Background: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recent shutdown of Silicon Valley Bank has caused regional and community banks to lose $120 billion, according to Federal Reserve data. However, depositors still have faith in big banks. As a result, Roundhill Investments launched a new ETF called The BIG Bank ETF (BIGB), which is designed to provide concentrated and cost-efficient exposure to the largest and most liquid U.S. bank stocks.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The BIG Bank ETF (BIGB)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is an exchange-traded fund launched on NASDAQ on Mar 21, 2023, and is managed by Roundhill. BIGB provides a targeted exposure to the six largest U.S. banks: Bank of America, Citigroup, Goldman Sachs, JPMorgan Chase, Morgan Stanley, and Wells Fargo. The fund is equally weighted, re-balances quarterly, and reconstitutes on an annual basis. BIGB carries an expense ratio of 0.29%.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Project - An application to Assist Users in Understanding the BIG Bank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Objective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To develop an application that can provide assistance, with the power of Machine Learning, to users who are interested in gaining a deeper understanding of the BIG Bank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Data Source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As the BIGB is a relatively new investment option, there is limited data available to individual users for evaluation purposes. To address this issue, we will be utilizing a hypothetical data set based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on the performance of the six stocks included in the BIGB.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The Yahoo Finance will be used as the primary data source for this project.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It is important to note that our analysis assumes that no quarterly re-balancing or annual reconstitution occurred during the historical period we are examining.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Outline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Utilize unsupervised machine learning clustering algorithms to determine which reward/risk segmentation the BIGB ETF belongs to.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Use time series analysis to identify trends and seasonality in the data.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Compare the trading algorithms powered by 3 machine learning models for BIGB.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Next steps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Continuously optimize and improve the neural network model for better accuracy and performance.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Develop an application for users to gain a deeper understanding of any new product they are interested in.</w:t>
      </w:r>
    </w:p>
    <w:p>
      <w:pPr>
        <w:numPr>
          <w:ilvl w:val="0"/>
          <w:numId w:val="2"/>
        </w:numPr>
        <w:ind w:left="425" w:leftChars="0" w:hanging="425" w:firstLineChars="0"/>
        <w:jc w:val="both"/>
      </w:pPr>
      <w:r>
        <w:rPr>
          <w:rFonts w:hint="default"/>
          <w:b w:val="0"/>
          <w:bCs w:val="0"/>
          <w:sz w:val="24"/>
          <w:szCs w:val="24"/>
          <w:lang w:val="en-US"/>
        </w:rPr>
        <w:t>Add a module to the application to enable users to compare the analysis report of a new ETF to a similar ETF that has been launched previously and has sufficient actual data.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B481A"/>
    <w:multiLevelType w:val="singleLevel"/>
    <w:tmpl w:val="FAFB48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FDFBA445"/>
    <w:multiLevelType w:val="singleLevel"/>
    <w:tmpl w:val="FDFBA445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B4328"/>
    <w:rsid w:val="2B85989F"/>
    <w:rsid w:val="53661743"/>
    <w:rsid w:val="6573820E"/>
    <w:rsid w:val="6EF7FF97"/>
    <w:rsid w:val="7F678116"/>
    <w:rsid w:val="9BF050D4"/>
    <w:rsid w:val="FBDB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396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2023-03-31T04:29:00Z</dcterms:created>
  <dc:creator>WPS_1678071068</dc:creator>
  <cp:lastModifiedBy>WPS_1678071068</cp:lastModifiedBy>
  <dcterms:modified xsi:type="dcterms:W3CDTF">2023-04-16T02:01:14Z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