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pPr>
      <w:r>
        <w:t>2 September 2026</w:t>
      </w:r>
    </w:p>
    <w:p>
      <w:pPr>
        <w:keepNext/>
        <w:keepLines/>
      </w:pPr>
      <w:r>
        <w:t>The Editor</w:t>
        <w:br/>
        <w:t>Expert Systems with Applications</w:t>
      </w:r>
    </w:p>
    <w:p>
      <w:pPr>
        <w:pStyle w:val="LetterSubject"/>
        <w:keepNext/>
        <w:keepLines/>
      </w:pPr>
      <w:r>
        <w:t>Re: Full length article submission</w:t>
        <w:br/>
        <w:t>Assessing the Viability of Pre-Local-Search Surrogate Filtering: A Diagnostic Study of Survival-Based Offspring Pruning in Memetic CETSP</w:t>
      </w:r>
    </w:p>
    <w:p>
      <w:pPr>
        <w:keepNext/>
        <w:keepLines/>
      </w:pPr>
      <w:r>
        <w:t>Dear Editor,</w:t>
      </w:r>
    </w:p>
    <w:p>
      <w:pPr>
        <w:keepLines/>
      </w:pPr>
      <w:r>
        <w:t>Please consider the above manuscript by Demir Balemir and Deniz Cantürk for publication as a Full length article in Expert Systems with Applications.</w:t>
      </w:r>
    </w:p>
    <w:p>
      <w:pPr>
        <w:keepLines/>
      </w:pPr>
      <w:r>
        <w:t>The study addresses a practical question in learning-assisted optimisation: how can practitioners assess whether an offspring's available features support useful rejection decisions before an expensive local-search step? We implement survival-based filtering in a memetic algorithm for the Close-Enough Traveling Salesman Problem and evaluate nine survival models against a concurrent no-filter control on 53 benchmark instances with five seeds per configuration. Under this protocol, we find no statistically detectable difference in solution quality or total runtime.</w:t>
      </w:r>
    </w:p>
    <w:p>
      <w:pPr>
        <w:keepLines/>
      </w:pPr>
      <w:r>
        <w:t>The principal contribution is a diagnostic screening procedure connecting target predictability, rank transmission through local search, and discrimination beyond temporal drift. Complementary analyses use recorded, admitted solutions from smaller diagnostic subsets to examine model discrimination, feature families, post-local-search information and stage-wise changes in cost ordering. These measurements motivate a one-sided viability gate: adverse evidence can support reconsidering the tested design, while favourable evidence warrants further evaluation. The manuscript states the sampling limitations and the retrospective scope of this assessment.</w:t>
      </w:r>
    </w:p>
    <w:p>
      <w:pPr>
        <w:keepLines/>
      </w:pPr>
      <w:r>
        <w:t>This submission builds on our conference paper, "New Learning-Assisted Memetic Algorithm for the Close-Enough Traveling Salesman Problem (LA-CETSP)" (Balemir, Cantürk and Dökeroğlu, IISEC 2026, pp. 364-369; doi:10.1109/IISEC69317.2026.11418468). The present manuscript expands the evaluation from four to 53 instances, introduces a concurrent control and instance-level statistical comparisons, and develops the diagnostic analyses and viability gate. It explicitly discusses how the evaluation protocols affect interpretation of the earlier pruning results. The solver code, retained measurements and analysis scripts are publicly available, with the scope of reproducibility detailed in the data-availability statement.</w:t>
      </w:r>
    </w:p>
    <w:p>
      <w:pPr>
        <w:keepLines/>
      </w:pPr>
      <w:r>
        <w:t>We believe the manuscript fits the journal's focus on the testing and development of intelligent systems and on practical guidance for their application. Its contribution is an evidence-based procedure for assessing learned filtering in computationally expensive optimisation, illustrated through a complete implemented system and a controlled benchmark evaluation.</w:t>
      </w:r>
    </w:p>
    <w:p>
      <w:pPr>
        <w:keepLines/>
      </w:pPr>
      <w:r>
        <w:t>Thank you for considering our manuscript.</w:t>
      </w:r>
    </w:p>
    <w:p>
      <w:pPr>
        <w:keepNext/>
        <w:keepLines/>
      </w:pPr>
      <w:r>
        <w:t>Yours sincerely,</w:t>
      </w:r>
    </w:p>
    <w:p>
      <w:pPr>
        <w:pStyle w:val="LetterContact"/>
        <w:keepNext/>
        <w:keepLines/>
      </w:pPr>
      <w:r>
        <w:t>Demir Balemir</w:t>
        <w:br/>
        <w:t>Corresponding author</w:t>
        <w:br/>
        <w:t>Department of Computer Engineering, TED University, Ankara, Türkiye</w:t>
        <w:br/>
        <w:t>demir.balemir@tedu.edu.tr</w:t>
      </w:r>
    </w:p>
    <w:p>
      <w:pPr>
        <w:pStyle w:val="LetterContact"/>
        <w:keepLines/>
      </w:pPr>
      <w:r>
        <w:t>Co-author: Deniz Cantürk — deniz.canturk@tedu.edu.tr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ind w:left="0" w:right="0" w:firstLine="0"/>
      <w:jc w:val="left"/>
    </w:pPr>
    <w:rPr>
      <w:rFonts w:ascii="Calibri" w:hAnsi="Calibri" w:eastAsia="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ind w:left="0" w:right="0" w:firstLine="0"/>
      <w:jc w:val="left"/>
    </w:pPr>
    <w:rPr>
      <w:rFonts w:ascii="Calibri" w:hAnsi="Calibri" w:eastAsia="Calibri"/>
      <w:b w:val="0"/>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ind w:left="0" w:right="0" w:firstLine="0"/>
      <w:jc w:val="left"/>
    </w:pPr>
    <w:rPr>
      <w:rFonts w:ascii="Calibri" w:hAnsi="Calibri" w:eastAsia="Calibri"/>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jc w:val="left"/>
      <w:outlineLvl w:val="0"/>
    </w:pPr>
    <w:rPr>
      <w:rFonts w:asciiTheme="majorHAnsi" w:eastAsiaTheme="majorEastAsia" w:hAnsiTheme="majorHAnsi" w:cstheme="majorBidi" w:ascii="Calibri" w:hAnsi="Calibri" w:eastAsia="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jc w:val="left"/>
      <w:outlineLvl w:val="1"/>
    </w:pPr>
    <w:rPr>
      <w:rFonts w:asciiTheme="majorHAnsi" w:eastAsiaTheme="majorEastAsia" w:hAnsiTheme="majorHAnsi" w:cstheme="majorBidi" w:ascii="Calibri" w:hAnsi="Calibri" w:eastAsia="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jc w:val="left"/>
      <w:outlineLvl w:val="2"/>
    </w:pPr>
    <w:rPr>
      <w:rFonts w:asciiTheme="majorHAnsi" w:eastAsiaTheme="majorEastAsia" w:hAnsiTheme="majorHAnsi" w:cstheme="majorBidi" w:ascii="Calibri" w:hAnsi="Calibri" w:eastAsia="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before="0"/>
      <w:ind w:left="0" w:right="0" w:firstLine="0"/>
      <w:contextualSpacing/>
      <w:jc w:val="left"/>
    </w:pPr>
    <w:rPr>
      <w:rFonts w:asciiTheme="majorHAnsi" w:eastAsiaTheme="majorEastAsia" w:hAnsiTheme="majorHAnsi" w:cstheme="majorBidi" w:ascii="Calibri" w:hAnsi="Calibri" w:eastAsia="Calibri"/>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64" w:lineRule="auto"/>
      <w:ind w:left="0" w:right="0" w:firstLine="0"/>
      <w:jc w:val="left"/>
    </w:pPr>
    <w:rPr>
      <w:rFonts w:asciiTheme="majorHAnsi" w:eastAsiaTheme="majorEastAsia" w:hAnsiTheme="majorHAnsi" w:cstheme="majorBidi" w:ascii="Calibri" w:hAnsi="Calibri" w:eastAsia="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Metadata">
    <w:name w:val="Letter Metadata"/>
    <w:pPr>
      <w:widowControl/>
      <w:spacing w:before="0" w:after="0" w:line="264" w:lineRule="auto"/>
      <w:ind w:left="0" w:right="0" w:firstLine="0"/>
      <w:jc w:val="left"/>
    </w:pPr>
    <w:rPr>
      <w:rFonts w:ascii="Calibri" w:hAnsi="Calibri" w:eastAsia="Calibri"/>
      <w:b w:val="0"/>
      <w:color w:val="000000"/>
      <w:sz w:val="22"/>
    </w:rPr>
  </w:style>
  <w:style w:type="paragraph" w:customStyle="1" w:styleId="LetterSubject">
    <w:name w:val="Letter Subject"/>
    <w:pPr>
      <w:widowControl/>
      <w:spacing w:before="0" w:after="120" w:line="264" w:lineRule="auto"/>
      <w:ind w:left="0" w:right="0" w:firstLine="0"/>
      <w:jc w:val="left"/>
    </w:pPr>
    <w:rPr>
      <w:rFonts w:ascii="Calibri" w:hAnsi="Calibri" w:eastAsia="Calibri"/>
      <w:b/>
      <w:color w:val="000000"/>
      <w:sz w:val="22"/>
    </w:rPr>
  </w:style>
  <w:style w:type="paragraph" w:customStyle="1" w:styleId="LetterContact">
    <w:name w:val="Letter Contact"/>
    <w:pPr>
      <w:widowControl/>
      <w:spacing w:before="0" w:after="0" w:line="240" w:lineRule="auto"/>
      <w:ind w:left="0" w:right="0" w:firstLine="0"/>
      <w:jc w:val="left"/>
    </w:pPr>
    <w:rPr>
      <w:rFonts w:ascii="Calibri" w:hAnsi="Calibri" w:eastAsia="Calibri"/>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Expert Systems with Applications</dc:title>
  <dc:subject>Full length article submission</dc:subject>
  <dc:creator>Demir Balemir; Deniz Cantürk</dc:creator>
  <cp:keywords>ESWA, cover letter, CETSP</cp:keywords>
  <dc:description/>
  <cp:lastModifiedBy/>
  <cp:revision>1</cp:revision>
  <dcterms:created xsi:type="dcterms:W3CDTF">2013-12-23T23:15:00Z</dcterms:created>
  <dcterms:modified xsi:type="dcterms:W3CDTF">2013-12-23T23:15:00Z</dcterms:modified>
  <cp:category/>
</cp:coreProperties>
</file>