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B1B1B"/>
          <w:sz w:val="44"/>
          <w:szCs w:val="44"/>
        </w:rPr>
        <w:t xml:space="preserve">BOWDIE’S TRAINING REFERENCE</w:t>
      </w:r>
    </w:p>
    <w:p>
      <w:pPr>
        <w:spacing w:after="120"/>
      </w:pPr>
      <w:r>
        <w:rPr>
          <w:rFonts w:ascii="Georgia" w:cs="Georgia" w:eastAsia="Georgia" w:hAnsi="Georgia"/>
          <w:i/>
          <w:iCs/>
          <w:color w:val="6B6B6B"/>
          <w:sz w:val="28"/>
          <w:szCs w:val="28"/>
        </w:rPr>
        <w:t xml:space="preserve">The Pitch</w:t>
      </w:r>
    </w:p>
    <w:p>
      <w:pPr>
        <w:pBdr>
          <w:bottom w:val="single" w:color="1B1B1B" w:sz="6" w:space="4"/>
        </w:pBdr>
        <w:spacing w:after="160" w:before="60"/>
      </w:pPr>
      <w:r>
        <w:t xml:space="preserve"/>
      </w:r>
    </w:p>
    <w:p>
      <w:pPr>
        <w:spacing w:after="140" w:before="280"/>
      </w:pPr>
      <w:r>
        <w:rPr>
          <w:rFonts w:ascii="Arial" w:cs="Arial" w:eastAsia="Arial" w:hAnsi="Arial"/>
          <w:b/>
          <w:bCs/>
          <w:color w:val="1B1B1B"/>
          <w:spacing w:val="40"/>
          <w:sz w:val="22"/>
          <w:szCs w:val="22"/>
        </w:rPr>
        <w:t xml:space="preserve">WHAT IT IS, PLAINLY</w:t>
      </w:r>
    </w:p>
    <w:p>
      <w:pPr>
        <w:spacing w:after="160" w:line="320"/>
      </w:pPr>
      <w:r>
        <w:t xml:space="preserve">An internal training system for Bowdie’s staff. A server can pull it up, pick any item on the menu, and get every pairing across the floor — steak to side, wine to cocktail, spirit to dessert — with a written note explaining </w:t>
      </w:r>
      <w:r>
        <w:rPr>
          <w:i/>
          <w:iCs/>
        </w:rPr>
        <w:t xml:space="preserve">why</w:t>
      </w:r>
      <w:r>
        <w:t xml:space="preserve"> it works, </w:t>
      </w:r>
      <w:r>
        <w:rPr>
          <w:i/>
          <w:iCs/>
        </w:rPr>
        <w:t xml:space="preserve">why</w:t>
      </w:r>
      <w:r>
        <w:t xml:space="preserve"> it falls flat, or </w:t>
      </w:r>
      <w:r>
        <w:rPr>
          <w:i/>
          <w:iCs/>
        </w:rPr>
        <w:t xml:space="preserve">why</w:t>
      </w:r>
      <w:r>
        <w:t xml:space="preserve"> it’s a miss.</w:t>
      </w:r>
    </w:p>
    <w:p>
      <w:pPr>
        <w:spacing w:after="200" w:before="160"/>
        <w:jc w:val="center"/>
      </w:pPr>
      <w:r>
        <w:rPr>
          <w:rFonts w:ascii="Georgia" w:cs="Georgia" w:eastAsia="Georgia" w:hAnsi="Georgia"/>
          <w:b/>
          <w:bCs/>
          <w:color w:val="1B1B1B"/>
          <w:sz w:val="40"/>
          <w:szCs w:val="40"/>
        </w:rPr>
        <w:t xml:space="preserve">244</w:t>
      </w:r>
      <w:r>
        <w:rPr>
          <w:rFonts w:ascii="Arial" w:cs="Arial" w:eastAsia="Arial" w:hAnsi="Arial"/>
          <w:color w:val="6B6B6B"/>
          <w:sz w:val="22"/>
          <w:szCs w:val="22"/>
        </w:rPr>
        <w:t xml:space="preserve">  items</w:t>
      </w:r>
      <w:r>
        <w:rPr>
          <w:color w:val="6B6B6B"/>
          <w:sz w:val="22"/>
          <w:szCs w:val="22"/>
        </w:rPr>
        <w:t xml:space="preserve">     •     </w:t>
      </w:r>
      <w:r>
        <w:rPr>
          <w:rFonts w:ascii="Georgia" w:cs="Georgia" w:eastAsia="Georgia" w:hAnsi="Georgia"/>
          <w:b/>
          <w:bCs/>
          <w:color w:val="1B1B1B"/>
          <w:sz w:val="40"/>
          <w:szCs w:val="40"/>
        </w:rPr>
        <w:t xml:space="preserve">7,832</w:t>
      </w:r>
      <w:r>
        <w:rPr>
          <w:rFonts w:ascii="Arial" w:cs="Arial" w:eastAsia="Arial" w:hAnsi="Arial"/>
          <w:color w:val="6B6B6B"/>
          <w:sz w:val="22"/>
          <w:szCs w:val="22"/>
        </w:rPr>
        <w:t xml:space="preserve">  pairing notes</w:t>
      </w:r>
      <w:r>
        <w:rPr>
          <w:color w:val="6B6B6B"/>
          <w:sz w:val="22"/>
          <w:szCs w:val="22"/>
        </w:rPr>
        <w:t xml:space="preserve">     •     </w:t>
      </w:r>
      <w:r>
        <w:rPr>
          <w:rFonts w:ascii="Georgia" w:cs="Georgia" w:eastAsia="Georgia" w:hAnsi="Georgia"/>
          <w:b/>
          <w:bCs/>
          <w:color w:val="1B1B1B"/>
          <w:sz w:val="40"/>
          <w:szCs w:val="40"/>
        </w:rPr>
        <w:t xml:space="preserve">0</w:t>
      </w:r>
      <w:r>
        <w:rPr>
          <w:rFonts w:ascii="Arial" w:cs="Arial" w:eastAsia="Arial" w:hAnsi="Arial"/>
          <w:color w:val="6B6B6B"/>
          <w:sz w:val="22"/>
          <w:szCs w:val="22"/>
        </w:rPr>
        <w:t xml:space="preserve">  gaps</w:t>
      </w:r>
    </w:p>
    <w:p>
      <w:pPr>
        <w:spacing w:after="160" w:line="320"/>
      </w:pPr>
      <w:r>
        <w:t xml:space="preserve">It also functions as a </w:t>
      </w:r>
      <w:r>
        <w:rPr>
          <w:b/>
          <w:bCs/>
        </w:rPr>
        <w:t xml:space="preserve">working recipe reference.</w:t>
      </w:r>
      <w:r>
        <w:t xml:space="preserve"> Every cocktail on the program has its ingredient list and build instructions; every plated item has prep directions. A new bartender doesn’t guess — they look up the spec. A prep cook doesn’t have to flip through pages of written recipes just to find one. The same document that teaches pairing also holds the build.</w:t>
      </w:r>
    </w:p>
    <w:p>
      <w:pPr>
        <w:spacing w:after="140" w:before="280"/>
      </w:pPr>
      <w:r>
        <w:rPr>
          <w:rFonts w:ascii="Arial" w:cs="Arial" w:eastAsia="Arial" w:hAnsi="Arial"/>
          <w:b/>
          <w:bCs/>
          <w:color w:val="1B1B1B"/>
          <w:spacing w:val="40"/>
          <w:sz w:val="22"/>
          <w:szCs w:val="22"/>
        </w:rPr>
        <w:t xml:space="preserve">WHY IT MATTERS</w:t>
      </w:r>
    </w:p>
    <w:p>
      <w:pPr>
        <w:spacing w:after="160" w:line="320"/>
      </w:pPr>
      <w:r>
        <w:t xml:space="preserve">Right now, the knowledge that makes a Bowdie’s server great lives in the heads of the people who’ve been here the longest. When Manny explains why Sherried Speyside lands with the brownie, or Jess talks about how the Bowdie’s Old Fashioned plays differently than the Manhattan with an upcoming course — that’s institutional memory. It doesn’t scale with new locations. It doesn’t survive turnover. It doesn’t reach the new SA on week two who’s about to get a question they don’t know how to answer.</w:t>
      </w:r>
    </w:p>
    <w:p>
      <w:pPr>
        <w:spacing w:after="160" w:line="320"/>
      </w:pPr>
      <w:r>
        <w:t xml:space="preserve">This system captures that knowledge and makes it usable. Not a glossary. A working reference. Every pairing has a rationale. Every recipe is written to the Bowdie’s standard, not a cook’s best guess. Every cluster of spirits is broken down to the point where a server knows that </w:t>
      </w:r>
      <w:r>
        <w:rPr>
          <w:i/>
          <w:iCs/>
        </w:rPr>
        <w:t xml:space="preserve">Macallan 18 is the marquee pour, Aberlour 16 is the value play</w:t>
      </w:r>
      <w:r>
        <w:t xml:space="preserve"> — not because they memorized it, but because the system told them in plain language at the moment they needed it.</w:t>
      </w:r>
    </w:p>
    <w:p>
      <w:pPr>
        <w:spacing w:after="140" w:before="280"/>
      </w:pPr>
      <w:r>
        <w:rPr>
          <w:rFonts w:ascii="Arial" w:cs="Arial" w:eastAsia="Arial" w:hAnsi="Arial"/>
          <w:b/>
          <w:bCs/>
          <w:color w:val="1B1B1B"/>
          <w:spacing w:val="40"/>
          <w:sz w:val="22"/>
          <w:szCs w:val="22"/>
        </w:rPr>
        <w:t xml:space="preserve">WHAT’S LIVE NOW</w:t>
      </w:r>
    </w:p>
    <w:p>
      <w:pPr>
        <w:pStyle w:val="ListParagraph"/>
        <w:numPr>
          <w:ilvl w:val="0"/>
          <w:numId w:val="2"/>
        </w:numPr>
        <w:spacing w:after="120" w:line="300"/>
      </w:pPr>
      <w:r>
        <w:rPr>
          <w:b/>
          <w:bCs/>
        </w:rPr>
        <w:t xml:space="preserve">Spirits, Wine, and Prime &amp; Plate cards </w:t>
      </w:r>
      <w:r>
        <w:t xml:space="preserve">— browse any category, click any item, and get sell-it notes, deeper taste insight for staff (the </w:t>
      </w:r>
      <w:r>
        <w:rPr>
          <w:i/>
          <w:iCs/>
        </w:rPr>
        <w:t xml:space="preserve">why this is set apart</w:t>
      </w:r>
      <w:r>
        <w:t xml:space="preserve">), and ingredient quantities and instructions where applicable.</w:t>
      </w:r>
    </w:p>
    <w:p>
      <w:pPr>
        <w:pStyle w:val="ListParagraph"/>
        <w:numPr>
          <w:ilvl w:val="0"/>
          <w:numId w:val="2"/>
        </w:numPr>
        <w:spacing w:after="120" w:line="300"/>
      </w:pPr>
      <w:r>
        <w:rPr>
          <w:b/>
          <w:bCs/>
        </w:rPr>
        <w:t xml:space="preserve">Set the Stage </w:t>
      </w:r>
      <w:r>
        <w:t xml:space="preserve">— the pairing engine itself. Type in any item and see everything associated with it, tiered from excellent to avoid, with a written note on each pairing.</w:t>
      </w:r>
    </w:p>
    <w:p>
      <w:pPr>
        <w:pStyle w:val="ListParagraph"/>
        <w:numPr>
          <w:ilvl w:val="0"/>
          <w:numId w:val="2"/>
        </w:numPr>
        <w:spacing w:after="120" w:line="300"/>
      </w:pPr>
      <w:r>
        <w:rPr>
          <w:b/>
          <w:bCs/>
        </w:rPr>
        <w:t xml:space="preserve">17 spirit clusters further defined </w:t>
      </w:r>
      <w:r>
        <w:t xml:space="preserve">— Bold Bourbon, Speyside, Islay, Craft Gin, Añejo Tequila and more, taken a layer deeper from their standard classifications into house-style sub-clusters that reflect how the bar actually talks about them.</w:t>
      </w:r>
    </w:p>
    <w:p>
      <w:pPr>
        <w:spacing w:after="140" w:before="280"/>
      </w:pPr>
      <w:r>
        <w:rPr>
          <w:rFonts w:ascii="Arial" w:cs="Arial" w:eastAsia="Arial" w:hAnsi="Arial"/>
          <w:b/>
          <w:bCs/>
          <w:color w:val="1B1B1B"/>
          <w:spacing w:val="40"/>
          <w:sz w:val="22"/>
          <w:szCs w:val="22"/>
        </w:rPr>
        <w:t xml:space="preserve">ACCESS AND CONTROL</w:t>
      </w:r>
    </w:p>
    <w:p>
      <w:pPr>
        <w:spacing w:after="160" w:line="320"/>
      </w:pPr>
      <w:r>
        <w:t xml:space="preserve">The moment this is approved, it moves onto a hosted site with user verification gating entry. Only Bowdie’s staff get access. Misuse is actionable — blacklisting is possible, and the system is built to enforce it. Recipes, pairing notes, and any proprietary standard stay inside the building.</w:t>
      </w:r>
    </w:p>
    <w:p>
      <w:pPr>
        <w:spacing w:after="140" w:before="280"/>
      </w:pPr>
      <w:r>
        <w:rPr>
          <w:rFonts w:ascii="Arial" w:cs="Arial" w:eastAsia="Arial" w:hAnsi="Arial"/>
          <w:b/>
          <w:bCs/>
          <w:color w:val="1B1B1B"/>
          <w:spacing w:val="40"/>
          <w:sz w:val="22"/>
          <w:szCs w:val="22"/>
        </w:rPr>
        <w:t xml:space="preserve">WHAT COMES NEXT, WHEN THE PRODUCT IS EMBRACED</w:t>
      </w:r>
    </w:p>
    <w:p>
      <w:pPr>
        <w:spacing w:after="160" w:line="320"/>
      </w:pPr>
      <w:r>
        <w:t xml:space="preserve">Five position-focused modules — each one codifying what Bowdie’s expects from the people in that role, written so that someone who has never set foot in the restaurant would finish reading and know what we’re about:</w:t>
      </w:r>
    </w:p>
    <w:p>
      <w:pPr>
        <w:pStyle w:val="ListParagraph"/>
        <w:numPr>
          <w:ilvl w:val="0"/>
          <w:numId w:val="3"/>
        </w:numPr>
        <w:spacing w:after="100" w:line="300"/>
      </w:pPr>
      <w:r>
        <w:rPr>
          <w:b/>
          <w:bCs/>
        </w:rPr>
        <w:t xml:space="preserve">Welcome to Hosting </w:t>
      </w:r>
      <w:r>
        <w:t xml:space="preserve">— the standard for the first impression.</w:t>
      </w:r>
    </w:p>
    <w:p>
      <w:pPr>
        <w:pStyle w:val="ListParagraph"/>
        <w:numPr>
          <w:ilvl w:val="0"/>
          <w:numId w:val="3"/>
        </w:numPr>
        <w:spacing w:after="100" w:line="300"/>
      </w:pPr>
      <w:r>
        <w:rPr>
          <w:b/>
          <w:bCs/>
        </w:rPr>
        <w:t xml:space="preserve">SA 101 </w:t>
      </w:r>
      <w:r>
        <w:t xml:space="preserve">— the work that holds the floor together.</w:t>
      </w:r>
    </w:p>
    <w:p>
      <w:pPr>
        <w:pStyle w:val="ListParagraph"/>
        <w:numPr>
          <w:ilvl w:val="0"/>
          <w:numId w:val="3"/>
        </w:numPr>
        <w:spacing w:after="100" w:line="300"/>
      </w:pPr>
      <w:r>
        <w:rPr>
          <w:b/>
          <w:bCs/>
        </w:rPr>
        <w:t xml:space="preserve">Serving with Confidence </w:t>
      </w:r>
      <w:r>
        <w:t xml:space="preserve">— the heart of the guest experience.</w:t>
      </w:r>
    </w:p>
    <w:p>
      <w:pPr>
        <w:pStyle w:val="ListParagraph"/>
        <w:numPr>
          <w:ilvl w:val="0"/>
          <w:numId w:val="3"/>
        </w:numPr>
        <w:spacing w:after="100" w:line="300"/>
      </w:pPr>
      <w:r>
        <w:rPr>
          <w:b/>
          <w:bCs/>
        </w:rPr>
        <w:t xml:space="preserve">Bartending: The Art of Mixing </w:t>
      </w:r>
      <w:r>
        <w:t xml:space="preserve">— what separates a pour from a program.</w:t>
      </w:r>
    </w:p>
    <w:p>
      <w:pPr>
        <w:pStyle w:val="ListParagraph"/>
        <w:numPr>
          <w:ilvl w:val="0"/>
          <w:numId w:val="3"/>
        </w:numPr>
        <w:spacing w:after="100" w:line="300"/>
      </w:pPr>
      <w:r>
        <w:rPr>
          <w:b/>
          <w:bCs/>
        </w:rPr>
        <w:t xml:space="preserve">Kitchen Best Practices </w:t>
      </w:r>
      <w:r>
        <w:t xml:space="preserve">— recipes for success in a fast-paced environment.</w:t>
      </w:r>
    </w:p>
    <w:p>
      <w:pPr>
        <w:spacing w:after="160" w:before="140" w:line="320"/>
      </w:pPr>
      <w:r>
        <w:t xml:space="preserve">Alongside these, clear policy documentation for the host stand and the serving/bartending floors. Not vague expectations — specific, written, referenceable. The kind of document that ends arguments instead of starting them.</w:t>
      </w:r>
    </w:p>
    <w:p>
      <w:pPr>
        <w:pBdr>
          <w:bottom w:val="single" w:color="BDBDBD" w:sz="4" w:space="3"/>
        </w:pBdr>
        <w:spacing w:after="120" w:before="40"/>
      </w:pPr>
      <w:r>
        <w:t xml:space="preserve"/>
      </w:r>
    </w:p>
    <w:p>
      <w:pPr>
        <w:spacing w:after="140" w:before="280"/>
      </w:pPr>
      <w:r>
        <w:rPr>
          <w:rFonts w:ascii="Arial" w:cs="Arial" w:eastAsia="Arial" w:hAnsi="Arial"/>
          <w:b/>
          <w:bCs/>
          <w:color w:val="1B1B1B"/>
          <w:spacing w:val="40"/>
          <w:sz w:val="22"/>
          <w:szCs w:val="22"/>
        </w:rPr>
        <w:t xml:space="preserve">THE ASK</w:t>
      </w:r>
    </w:p>
    <w:p>
      <w:pPr>
        <w:spacing w:after="160" w:line="320"/>
      </w:pPr>
      <w:r>
        <w:rPr>
          <w:b/>
          <w:bCs/>
        </w:rPr>
        <w:t xml:space="preserve">This is ready. </w:t>
      </w:r>
      <w:r>
        <w:t xml:space="preserve">The cards, recipes, prep directions, and pairing engine are comprehensive, audited, and deployed locally. Gated hosting and the position modules are the next build — they ship the moment this product is green lighted.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 </w:t>
    </w:r>
    <w:r>
      <w:rPr>
        <w:color w:val="6B6B6B"/>
        <w:sz w:val="18"/>
        <w:szCs w:val="18"/>
      </w:rPr>
      <w:fldChar w:fldCharType="begin"/>
      <w:instrText xml:space="preserve">PAGE</w:instrText>
      <w:fldChar w:fldCharType="separate"/>
      <w:fldChar w:fldCharType="end"/>
    </w:r>
    <w:r>
      <w:rPr>
        <w:color w:val="6B6B6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8"/>
        <w:szCs w:val="18"/>
      </w:rPr>
      <w:t xml:space="preserve">Bowdie’s Chophouse  •  Prepared by Gabriel Collins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2026-04-23T15:24:05.690Z</dcterms:created>
  <dcterms:modified xsi:type="dcterms:W3CDTF">2026-04-23T15:24:05.698Z</dcterms:modified>
</cp:coreProperties>
</file>

<file path=docProps/custom.xml><?xml version="1.0" encoding="utf-8"?>
<Properties xmlns="http://schemas.openxmlformats.org/officeDocument/2006/custom-properties" xmlns:vt="http://schemas.openxmlformats.org/officeDocument/2006/docPropsVTypes"/>
</file>