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b/>
          <w:bCs/>
          <w:color w:val="000000"/>
          <w:sz w:val="44"/>
          <w:szCs w:val="44"/>
        </w:rPr>
        <w:t xml:space="preserve">BOWDIE’S TRAINING REFERENCE</w:t>
      </w:r>
    </w:p>
    <w:p>
      <w:pPr>
        <w:pBdr>
          <w:bottom w:val="single" w:color="000000" w:sz="6" w:space="6"/>
        </w:pBdr>
        <w:spacing w:after="240" w:before="0"/>
      </w:pPr>
      <w:r>
        <w:rPr>
          <w:rFonts w:ascii="Times New Roman" w:cs="Times New Roman" w:eastAsia="Times New Roman" w:hAnsi="Times New Roman"/>
          <w:i/>
          <w:iCs/>
          <w:color w:val="555555"/>
          <w:sz w:val="28"/>
          <w:szCs w:val="28"/>
        </w:rPr>
        <w:t xml:space="preserve">The Pitch</w:t>
      </w:r>
    </w:p>
    <w:p>
      <w:pPr>
        <w:spacing w:after="100" w:before="320"/>
      </w:pPr>
      <w:r>
        <w:rPr>
          <w:rFonts w:ascii="Times New Roman" w:cs="Times New Roman" w:eastAsia="Times New Roman" w:hAnsi="Times New Roman"/>
          <w:b/>
          <w:bCs/>
          <w:sz w:val="24"/>
          <w:szCs w:val="24"/>
        </w:rPr>
        <w:t xml:space="preserve">WHAT IT IS, PLAINLY</w:t>
      </w:r>
    </w:p>
    <w:p>
      <w:pPr>
        <w:spacing w:after="120"/>
        <w:jc w:val="left"/>
      </w:pPr>
      <w:r>
        <w:rPr>
          <w:rFonts w:ascii="Times New Roman" w:cs="Times New Roman" w:eastAsia="Times New Roman" w:hAnsi="Times New Roman"/>
          <w:sz w:val="22"/>
          <w:szCs w:val="22"/>
        </w:rPr>
        <w:t xml:space="preserve">An internal training system for Bowdie’s staff. A server can pull it up, pick any item on the menu, and get every pairing across the floor — steak to side, wine to cocktail, spirit to dessert — with a written note explaining </w:t>
      </w:r>
      <w:r>
        <w:rPr>
          <w:rFonts w:ascii="Times New Roman" w:cs="Times New Roman" w:eastAsia="Times New Roman" w:hAnsi="Times New Roman"/>
          <w:i/>
          <w:iCs/>
          <w:sz w:val="22"/>
          <w:szCs w:val="22"/>
        </w:rPr>
        <w:t xml:space="preserve">why</w:t>
      </w:r>
      <w:r>
        <w:rPr>
          <w:rFonts w:ascii="Times New Roman" w:cs="Times New Roman" w:eastAsia="Times New Roman" w:hAnsi="Times New Roman"/>
          <w:sz w:val="22"/>
          <w:szCs w:val="22"/>
        </w:rPr>
        <w:t xml:space="preserve"> it works, </w:t>
      </w:r>
      <w:r>
        <w:rPr>
          <w:rFonts w:ascii="Times New Roman" w:cs="Times New Roman" w:eastAsia="Times New Roman" w:hAnsi="Times New Roman"/>
          <w:i/>
          <w:iCs/>
          <w:sz w:val="22"/>
          <w:szCs w:val="22"/>
        </w:rPr>
        <w:t xml:space="preserve">why</w:t>
      </w:r>
      <w:r>
        <w:rPr>
          <w:rFonts w:ascii="Times New Roman" w:cs="Times New Roman" w:eastAsia="Times New Roman" w:hAnsi="Times New Roman"/>
          <w:sz w:val="22"/>
          <w:szCs w:val="22"/>
        </w:rPr>
        <w:t xml:space="preserve"> it falls flat, or </w:t>
      </w:r>
      <w:r>
        <w:rPr>
          <w:rFonts w:ascii="Times New Roman" w:cs="Times New Roman" w:eastAsia="Times New Roman" w:hAnsi="Times New Roman"/>
          <w:i/>
          <w:iCs/>
          <w:sz w:val="22"/>
          <w:szCs w:val="22"/>
        </w:rPr>
        <w:t xml:space="preserve">why</w:t>
      </w:r>
      <w:r>
        <w:rPr>
          <w:rFonts w:ascii="Times New Roman" w:cs="Times New Roman" w:eastAsia="Times New Roman" w:hAnsi="Times New Roman"/>
          <w:sz w:val="22"/>
          <w:szCs w:val="22"/>
        </w:rPr>
        <w:t xml:space="preserve"> it’s a miss.</w:t>
      </w:r>
    </w:p>
    <w:p>
      <w:pPr>
        <w:spacing w:after="80" w:before="200"/>
        <w:jc w:val="center"/>
      </w:pPr>
      <w:r>
        <w:rPr>
          <w:rFonts w:ascii="Times New Roman" w:cs="Times New Roman" w:eastAsia="Times New Roman" w:hAnsi="Times New Roman"/>
          <w:b/>
          <w:bCs/>
          <w:sz w:val="56"/>
          <w:szCs w:val="56"/>
        </w:rPr>
        <w:t xml:space="preserve">491 </w:t>
      </w:r>
      <w:r>
        <w:rPr>
          <w:rFonts w:ascii="Times New Roman" w:cs="Times New Roman" w:eastAsia="Times New Roman" w:hAnsi="Times New Roman"/>
          <w:sz w:val="22"/>
          <w:szCs w:val="22"/>
        </w:rPr>
        <w:t xml:space="preserve">items</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56"/>
          <w:szCs w:val="56"/>
        </w:rPr>
        <w:t xml:space="preserve">24,457 </w:t>
      </w:r>
      <w:r>
        <w:rPr>
          <w:rFonts w:ascii="Times New Roman" w:cs="Times New Roman" w:eastAsia="Times New Roman" w:hAnsi="Times New Roman"/>
          <w:sz w:val="22"/>
          <w:szCs w:val="22"/>
        </w:rPr>
        <w:t xml:space="preserve">pair-notes</w:t>
      </w:r>
      <w:r>
        <w:rPr>
          <w:rFonts w:ascii="Times New Roman" w:cs="Times New Roman" w:eastAsia="Times New Roman" w:hAnsi="Times New Roman"/>
          <w:sz w:val="22"/>
          <w:szCs w:val="22"/>
        </w:rPr>
        <w:t xml:space="preserve">  ·  </w:t>
      </w:r>
      <w:r>
        <w:rPr>
          <w:rFonts w:ascii="Times New Roman" w:cs="Times New Roman" w:eastAsia="Times New Roman" w:hAnsi="Times New Roman"/>
          <w:b/>
          <w:bCs/>
          <w:sz w:val="56"/>
          <w:szCs w:val="56"/>
        </w:rPr>
        <w:t xml:space="preserve">860,468 </w:t>
      </w:r>
      <w:r>
        <w:rPr>
          <w:rFonts w:ascii="Times New Roman" w:cs="Times New Roman" w:eastAsia="Times New Roman" w:hAnsi="Times New Roman"/>
          <w:sz w:val="22"/>
          <w:szCs w:val="22"/>
        </w:rPr>
        <w:t xml:space="preserve">words</w:t>
      </w:r>
    </w:p>
    <w:p>
      <w:pPr>
        <w:spacing w:after="200" w:before="0"/>
        <w:jc w:val="center"/>
      </w:pPr>
      <w:r>
        <w:rPr>
          <w:rFonts w:ascii="Times New Roman" w:cs="Times New Roman" w:eastAsia="Times New Roman" w:hAnsi="Times New Roman"/>
          <w:b/>
          <w:bCs/>
          <w:sz w:val="56"/>
          <w:szCs w:val="56"/>
        </w:rPr>
        <w:t xml:space="preserve">0 </w:t>
      </w:r>
      <w:r>
        <w:rPr>
          <w:rFonts w:ascii="Times New Roman" w:cs="Times New Roman" w:eastAsia="Times New Roman" w:hAnsi="Times New Roman"/>
          <w:sz w:val="22"/>
          <w:szCs w:val="22"/>
        </w:rPr>
        <w:t xml:space="preserve">gaps</w:t>
      </w:r>
    </w:p>
    <w:p>
      <w:pPr>
        <w:spacing w:after="120"/>
        <w:jc w:val="left"/>
      </w:pPr>
      <w:r>
        <w:rPr>
          <w:rFonts w:ascii="Times New Roman" w:cs="Times New Roman" w:eastAsia="Times New Roman" w:hAnsi="Times New Roman"/>
          <w:sz w:val="22"/>
          <w:szCs w:val="22"/>
        </w:rPr>
        <w:t xml:space="preserve">It also functions as a </w:t>
      </w:r>
      <w:r>
        <w:rPr>
          <w:rFonts w:ascii="Times New Roman" w:cs="Times New Roman" w:eastAsia="Times New Roman" w:hAnsi="Times New Roman"/>
          <w:b/>
          <w:bCs/>
          <w:sz w:val="22"/>
          <w:szCs w:val="22"/>
        </w:rPr>
        <w:t xml:space="preserve">working recipe reference.</w:t>
      </w:r>
      <w:r>
        <w:rPr>
          <w:rFonts w:ascii="Times New Roman" w:cs="Times New Roman" w:eastAsia="Times New Roman" w:hAnsi="Times New Roman"/>
          <w:sz w:val="22"/>
          <w:szCs w:val="22"/>
        </w:rPr>
        <w:t xml:space="preserve"> Every cocktail on the program has its ingredient list and build instructions; every plated item has prep directions </w:t>
      </w:r>
      <w:r>
        <w:rPr>
          <w:rFonts w:ascii="Times New Roman" w:cs="Times New Roman" w:eastAsia="Times New Roman" w:hAnsi="Times New Roman"/>
          <w:b/>
          <w:bCs/>
          <w:sz w:val="22"/>
          <w:szCs w:val="22"/>
        </w:rPr>
        <w:t xml:space="preserve">and allergens.</w:t>
      </w:r>
      <w:r>
        <w:rPr>
          <w:rFonts w:ascii="Times New Roman" w:cs="Times New Roman" w:eastAsia="Times New Roman" w:hAnsi="Times New Roman"/>
          <w:sz w:val="22"/>
          <w:szCs w:val="22"/>
        </w:rPr>
        <w:t xml:space="preserve"> A new bartender doesn’t guess — they look up the spec. A prep cook doesn’t flip through pages of written recipes just to find one. The same document that teaches pairing also holds the build.</w:t>
      </w:r>
    </w:p>
    <w:p>
      <w:pPr>
        <w:spacing w:after="100" w:before="320"/>
      </w:pPr>
      <w:r>
        <w:rPr>
          <w:rFonts w:ascii="Times New Roman" w:cs="Times New Roman" w:eastAsia="Times New Roman" w:hAnsi="Times New Roman"/>
          <w:b/>
          <w:bCs/>
          <w:sz w:val="24"/>
          <w:szCs w:val="24"/>
        </w:rPr>
        <w:t xml:space="preserve">WHY IT MATTERS</w:t>
      </w:r>
    </w:p>
    <w:p>
      <w:pPr>
        <w:spacing w:after="120"/>
        <w:jc w:val="left"/>
      </w:pPr>
      <w:r>
        <w:rPr>
          <w:rFonts w:ascii="Times New Roman" w:cs="Times New Roman" w:eastAsia="Times New Roman" w:hAnsi="Times New Roman"/>
          <w:sz w:val="22"/>
          <w:szCs w:val="22"/>
        </w:rPr>
        <w:t xml:space="preserve">Right now, the knowledge that makes a Bowdie’s server great lives in the heads of the people who’ve been here the longest. When Manny explains why Sherried Speyside lands with the brownie, or Jess talks about how the Bowdie’s Old Fashioned plays differently than the Manhattan with an upcoming course — that’s institutional memory. It doesn’t scale with new locations. It doesn’t survive turnover. It doesn’t reach the new SA on week two who’s about to get a question they don’t know how to answer.</w:t>
      </w:r>
    </w:p>
    <w:p>
      <w:pPr>
        <w:spacing w:after="120"/>
        <w:jc w:val="left"/>
      </w:pPr>
      <w:r>
        <w:rPr>
          <w:rFonts w:ascii="Times New Roman" w:cs="Times New Roman" w:eastAsia="Times New Roman" w:hAnsi="Times New Roman"/>
          <w:sz w:val="22"/>
          <w:szCs w:val="22"/>
        </w:rPr>
        <w:t xml:space="preserve">This system captures that knowledge and makes it usable. Not a glossary. A working reference. Every pairing has a rationale. Every recipe is written to the Bowdie’s standard, not a cook’s best guess. Every cluster of spirits is broken down to the point where a server knows that </w:t>
      </w:r>
      <w:r>
        <w:rPr>
          <w:rFonts w:ascii="Times New Roman" w:cs="Times New Roman" w:eastAsia="Times New Roman" w:hAnsi="Times New Roman"/>
          <w:i/>
          <w:iCs/>
          <w:sz w:val="22"/>
          <w:szCs w:val="22"/>
        </w:rPr>
        <w:t xml:space="preserve">Macallan 18 is the marquee pour, Aberlour 16 is the value play</w:t>
      </w:r>
      <w:r>
        <w:rPr>
          <w:rFonts w:ascii="Times New Roman" w:cs="Times New Roman" w:eastAsia="Times New Roman" w:hAnsi="Times New Roman"/>
          <w:sz w:val="22"/>
          <w:szCs w:val="22"/>
        </w:rPr>
        <w:t xml:space="preserve"> — not because they memorized it, but because the system told them in plain language at the moment they needed it.</w:t>
      </w:r>
    </w:p>
    <w:p>
      <w:pPr>
        <w:spacing w:after="100" w:before="320"/>
      </w:pPr>
      <w:r>
        <w:rPr>
          <w:rFonts w:ascii="Times New Roman" w:cs="Times New Roman" w:eastAsia="Times New Roman" w:hAnsi="Times New Roman"/>
          <w:b/>
          <w:bCs/>
          <w:sz w:val="24"/>
          <w:szCs w:val="24"/>
        </w:rPr>
        <w:t xml:space="preserve">BUILT TO LAST</w:t>
      </w:r>
    </w:p>
    <w:p>
      <w:pPr>
        <w:spacing w:after="120"/>
        <w:jc w:val="left"/>
      </w:pPr>
      <w:r>
        <w:rPr>
          <w:rFonts w:ascii="Times New Roman" w:cs="Times New Roman" w:eastAsia="Times New Roman" w:hAnsi="Times New Roman"/>
          <w:sz w:val="22"/>
          <w:szCs w:val="22"/>
        </w:rPr>
        <w:t xml:space="preserve">The reference isn’t a one-shot document — it’s an engineered system with the discipline that protects the brand:</w:t>
      </w:r>
    </w:p>
    <w:p>
      <w:pPr>
        <w:pStyle w:val="ListParagraph"/>
        <w:numPr>
          <w:ilvl w:val="0"/>
          <w:numId w:val="2"/>
        </w:numPr>
        <w:spacing w:after="80"/>
      </w:pPr>
      <w:r>
        <w:rPr>
          <w:rFonts w:ascii="Times New Roman" w:cs="Times New Roman" w:eastAsia="Times New Roman" w:hAnsi="Times New Roman"/>
          <w:b/>
          <w:bCs/>
          <w:sz w:val="22"/>
          <w:szCs w:val="22"/>
        </w:rPr>
        <w:t xml:space="preserve">Each varietal speaks in its own voice.</w:t>
      </w:r>
      <w:r>
        <w:rPr>
          <w:rFonts w:ascii="Times New Roman" w:cs="Times New Roman" w:eastAsia="Times New Roman" w:hAnsi="Times New Roman"/>
          <w:sz w:val="22"/>
          <w:szCs w:val="22"/>
        </w:rPr>
        <w:t xml:space="preserve"> Pinot reads like Pinot. Barolo reads like Barolo. Tempranillo reads Spanish. The system doesn’t flatten 60 reds into one generic line — it tells the server what’s actually in the bottle.</w:t>
      </w:r>
    </w:p>
    <w:p>
      <w:pPr>
        <w:pStyle w:val="ListParagraph"/>
        <w:numPr>
          <w:ilvl w:val="0"/>
          <w:numId w:val="2"/>
        </w:numPr>
        <w:spacing w:after="80"/>
      </w:pPr>
      <w:r>
        <w:rPr>
          <w:rFonts w:ascii="Times New Roman" w:cs="Times New Roman" w:eastAsia="Times New Roman" w:hAnsi="Times New Roman"/>
          <w:b/>
          <w:bCs/>
          <w:sz w:val="22"/>
          <w:szCs w:val="22"/>
        </w:rPr>
        <w:t xml:space="preserve">Cooking method matches the kitchen.</w:t>
      </w:r>
      <w:r>
        <w:rPr>
          <w:rFonts w:ascii="Times New Roman" w:cs="Times New Roman" w:eastAsia="Times New Roman" w:hAnsi="Times New Roman"/>
          <w:sz w:val="22"/>
          <w:szCs w:val="22"/>
        </w:rPr>
        <w:t xml:space="preserve"> Steaks are described as flame-grilled, rested, and oven-finished — the way Bowdie’s actually cooks them. Cut weights match the current menu (Filet 10oz, Bone-In 14oz, Kansas City 18oz, Cowboy 26oz, Tomahawk 36oz, Porterhouse 40oz).</w:t>
      </w:r>
    </w:p>
    <w:p>
      <w:pPr>
        <w:pStyle w:val="ListParagraph"/>
        <w:numPr>
          <w:ilvl w:val="0"/>
          <w:numId w:val="2"/>
        </w:numPr>
        <w:spacing w:after="80"/>
      </w:pPr>
      <w:r>
        <w:rPr>
          <w:rFonts w:ascii="Times New Roman" w:cs="Times New Roman" w:eastAsia="Times New Roman" w:hAnsi="Times New Roman"/>
          <w:b/>
          <w:bCs/>
          <w:sz w:val="22"/>
          <w:szCs w:val="22"/>
        </w:rPr>
        <w:t xml:space="preserve">Documented for handoff.</w:t>
      </w:r>
      <w:r>
        <w:rPr>
          <w:rFonts w:ascii="Times New Roman" w:cs="Times New Roman" w:eastAsia="Times New Roman" w:hAnsi="Times New Roman"/>
          <w:sz w:val="22"/>
          <w:szCs w:val="22"/>
        </w:rPr>
        <w:t xml:space="preserve"> The architecture is written down. If the system needs to move to another set of hands, the next person can read the document and pick it up.</w:t>
      </w:r>
    </w:p>
    <w:p>
      <w:pPr>
        <w:spacing w:after="100" w:before="320"/>
      </w:pPr>
      <w:r>
        <w:rPr>
          <w:rFonts w:ascii="Times New Roman" w:cs="Times New Roman" w:eastAsia="Times New Roman" w:hAnsi="Times New Roman"/>
          <w:b/>
          <w:bCs/>
          <w:sz w:val="24"/>
          <w:szCs w:val="24"/>
        </w:rPr>
        <w:t xml:space="preserve">WHAT’S LIVE NOW</w:t>
      </w:r>
    </w:p>
    <w:p>
      <w:pPr>
        <w:pStyle w:val="ListParagraph"/>
        <w:numPr>
          <w:ilvl w:val="0"/>
          <w:numId w:val="2"/>
        </w:numPr>
        <w:spacing w:after="80"/>
      </w:pPr>
      <w:r>
        <w:rPr>
          <w:rFonts w:ascii="Times New Roman" w:cs="Times New Roman" w:eastAsia="Times New Roman" w:hAnsi="Times New Roman"/>
          <w:b/>
          <w:bCs/>
          <w:sz w:val="22"/>
          <w:szCs w:val="22"/>
        </w:rPr>
        <w:t xml:space="preserve">Spirits, Wine, and Prime &amp; Plate cards</w:t>
      </w:r>
      <w:r>
        <w:rPr>
          <w:rFonts w:ascii="Times New Roman" w:cs="Times New Roman" w:eastAsia="Times New Roman" w:hAnsi="Times New Roman"/>
          <w:sz w:val="22"/>
          <w:szCs w:val="22"/>
        </w:rPr>
        <w:t xml:space="preserve"> — browse any category, click any item, and get sell-it notes, deeper taste insight for staff (the </w:t>
      </w:r>
      <w:r>
        <w:rPr>
          <w:rFonts w:ascii="Times New Roman" w:cs="Times New Roman" w:eastAsia="Times New Roman" w:hAnsi="Times New Roman"/>
          <w:i/>
          <w:iCs/>
          <w:sz w:val="22"/>
          <w:szCs w:val="22"/>
        </w:rPr>
        <w:t xml:space="preserve">why this is set apart</w:t>
      </w:r>
      <w:r>
        <w:rPr>
          <w:rFonts w:ascii="Times New Roman" w:cs="Times New Roman" w:eastAsia="Times New Roman" w:hAnsi="Times New Roman"/>
          <w:sz w:val="22"/>
          <w:szCs w:val="22"/>
        </w:rPr>
        <w:t xml:space="preserve">), and ingredient quantities and instructions where applicable.</w:t>
      </w:r>
    </w:p>
    <w:p>
      <w:pPr>
        <w:pStyle w:val="ListParagraph"/>
        <w:numPr>
          <w:ilvl w:val="0"/>
          <w:numId w:val="2"/>
        </w:numPr>
        <w:spacing w:after="80"/>
      </w:pPr>
      <w:r>
        <w:rPr>
          <w:rFonts w:ascii="Times New Roman" w:cs="Times New Roman" w:eastAsia="Times New Roman" w:hAnsi="Times New Roman"/>
          <w:b/>
          <w:bCs/>
          <w:sz w:val="22"/>
          <w:szCs w:val="22"/>
        </w:rPr>
        <w:t xml:space="preserve">Set the Stage</w:t>
      </w:r>
      <w:r>
        <w:rPr>
          <w:rFonts w:ascii="Times New Roman" w:cs="Times New Roman" w:eastAsia="Times New Roman" w:hAnsi="Times New Roman"/>
          <w:sz w:val="22"/>
          <w:szCs w:val="22"/>
        </w:rPr>
        <w:t xml:space="preserve"> — the pairing engine. Type in any item and see everything associated with it. Tiers include: gold standard, excellent, strong, works, and avoid — each with a written note explaining the call.</w:t>
      </w:r>
    </w:p>
    <w:p>
      <w:pPr>
        <w:spacing w:after="100" w:before="320"/>
      </w:pPr>
      <w:r>
        <w:rPr>
          <w:rFonts w:ascii="Times New Roman" w:cs="Times New Roman" w:eastAsia="Times New Roman" w:hAnsi="Times New Roman"/>
          <w:b/>
          <w:bCs/>
          <w:sz w:val="24"/>
          <w:szCs w:val="24"/>
        </w:rPr>
        <w:t xml:space="preserve">ACCESS AND CONTROL</w:t>
      </w:r>
    </w:p>
    <w:p>
      <w:pPr>
        <w:spacing w:after="120"/>
        <w:jc w:val="left"/>
      </w:pPr>
      <w:r>
        <w:rPr>
          <w:rFonts w:ascii="Times New Roman" w:cs="Times New Roman" w:eastAsia="Times New Roman" w:hAnsi="Times New Roman"/>
          <w:sz w:val="22"/>
          <w:szCs w:val="22"/>
        </w:rPr>
        <w:t xml:space="preserve">The moment this is approved, it moves onto a hosted site with user verification gating entry. Only Bowdie’s staff get access. Misuse is actionable — blacklisting is possible, and the system is built to enforce it. Recipes, pairing notes, and any proprietary standard stay inside the building.</w:t>
      </w:r>
    </w:p>
    <w:p>
      <w:pPr>
        <w:spacing w:after="100" w:before="320"/>
      </w:pPr>
      <w:r>
        <w:rPr>
          <w:rFonts w:ascii="Times New Roman" w:cs="Times New Roman" w:eastAsia="Times New Roman" w:hAnsi="Times New Roman"/>
          <w:b/>
          <w:bCs/>
          <w:sz w:val="24"/>
          <w:szCs w:val="24"/>
        </w:rPr>
        <w:t xml:space="preserve">WHAT COMES NEXT, WHEN THE PRODUCT IS EMBRACED</w:t>
      </w:r>
    </w:p>
    <w:p>
      <w:pPr>
        <w:spacing w:after="120"/>
        <w:jc w:val="left"/>
      </w:pPr>
      <w:r>
        <w:rPr>
          <w:rFonts w:ascii="Times New Roman" w:cs="Times New Roman" w:eastAsia="Times New Roman" w:hAnsi="Times New Roman"/>
          <w:sz w:val="22"/>
          <w:szCs w:val="22"/>
        </w:rPr>
        <w:t xml:space="preserve">Five position-focused modules — each one codifying what Bowdie’s expects from the people in that role, written so that someone who has never set foot in the restaurant would finish reading and know what we’re about:</w:t>
      </w:r>
    </w:p>
    <w:p>
      <w:pPr>
        <w:pStyle w:val="ListParagraph"/>
        <w:numPr>
          <w:ilvl w:val="0"/>
          <w:numId w:val="3"/>
        </w:numPr>
        <w:spacing w:after="80"/>
      </w:pPr>
      <w:r>
        <w:rPr>
          <w:rFonts w:ascii="Times New Roman" w:cs="Times New Roman" w:eastAsia="Times New Roman" w:hAnsi="Times New Roman"/>
          <w:b/>
          <w:bCs/>
          <w:sz w:val="22"/>
          <w:szCs w:val="22"/>
        </w:rPr>
        <w:t xml:space="preserve">Welcome to Hosting</w:t>
      </w:r>
      <w:r>
        <w:rPr>
          <w:rFonts w:ascii="Times New Roman" w:cs="Times New Roman" w:eastAsia="Times New Roman" w:hAnsi="Times New Roman"/>
          <w:sz w:val="22"/>
          <w:szCs w:val="22"/>
        </w:rPr>
        <w:t xml:space="preserve"> — the standard for the first impression.</w:t>
      </w:r>
    </w:p>
    <w:p>
      <w:pPr>
        <w:pStyle w:val="ListParagraph"/>
        <w:numPr>
          <w:ilvl w:val="0"/>
          <w:numId w:val="3"/>
        </w:numPr>
        <w:spacing w:after="80"/>
      </w:pPr>
      <w:r>
        <w:rPr>
          <w:rFonts w:ascii="Times New Roman" w:cs="Times New Roman" w:eastAsia="Times New Roman" w:hAnsi="Times New Roman"/>
          <w:b/>
          <w:bCs/>
          <w:sz w:val="22"/>
          <w:szCs w:val="22"/>
        </w:rPr>
        <w:t xml:space="preserve">SA 101</w:t>
      </w:r>
      <w:r>
        <w:rPr>
          <w:rFonts w:ascii="Times New Roman" w:cs="Times New Roman" w:eastAsia="Times New Roman" w:hAnsi="Times New Roman"/>
          <w:sz w:val="22"/>
          <w:szCs w:val="22"/>
        </w:rPr>
        <w:t xml:space="preserve"> — the work that holds the floor together.</w:t>
      </w:r>
    </w:p>
    <w:p>
      <w:pPr>
        <w:pStyle w:val="ListParagraph"/>
        <w:numPr>
          <w:ilvl w:val="0"/>
          <w:numId w:val="3"/>
        </w:numPr>
        <w:spacing w:after="80"/>
      </w:pPr>
      <w:r>
        <w:rPr>
          <w:rFonts w:ascii="Times New Roman" w:cs="Times New Roman" w:eastAsia="Times New Roman" w:hAnsi="Times New Roman"/>
          <w:b/>
          <w:bCs/>
          <w:sz w:val="22"/>
          <w:szCs w:val="22"/>
        </w:rPr>
        <w:t xml:space="preserve">Serving with Confidence</w:t>
      </w:r>
      <w:r>
        <w:rPr>
          <w:rFonts w:ascii="Times New Roman" w:cs="Times New Roman" w:eastAsia="Times New Roman" w:hAnsi="Times New Roman"/>
          <w:sz w:val="22"/>
          <w:szCs w:val="22"/>
        </w:rPr>
        <w:t xml:space="preserve"> — the heart of the guest experience.</w:t>
      </w:r>
    </w:p>
    <w:p>
      <w:pPr>
        <w:pStyle w:val="ListParagraph"/>
        <w:numPr>
          <w:ilvl w:val="0"/>
          <w:numId w:val="3"/>
        </w:numPr>
        <w:spacing w:after="80"/>
      </w:pPr>
      <w:r>
        <w:rPr>
          <w:rFonts w:ascii="Times New Roman" w:cs="Times New Roman" w:eastAsia="Times New Roman" w:hAnsi="Times New Roman"/>
          <w:b/>
          <w:bCs/>
          <w:sz w:val="22"/>
          <w:szCs w:val="22"/>
        </w:rPr>
        <w:t xml:space="preserve">Bartending: The Art of Mixing</w:t>
      </w:r>
      <w:r>
        <w:rPr>
          <w:rFonts w:ascii="Times New Roman" w:cs="Times New Roman" w:eastAsia="Times New Roman" w:hAnsi="Times New Roman"/>
          <w:sz w:val="22"/>
          <w:szCs w:val="22"/>
        </w:rPr>
        <w:t xml:space="preserve"> — what separates a pour from a program.</w:t>
      </w:r>
    </w:p>
    <w:p>
      <w:pPr>
        <w:pStyle w:val="ListParagraph"/>
        <w:numPr>
          <w:ilvl w:val="0"/>
          <w:numId w:val="3"/>
        </w:numPr>
        <w:spacing w:after="80"/>
      </w:pPr>
      <w:r>
        <w:rPr>
          <w:rFonts w:ascii="Times New Roman" w:cs="Times New Roman" w:eastAsia="Times New Roman" w:hAnsi="Times New Roman"/>
          <w:b/>
          <w:bCs/>
          <w:sz w:val="22"/>
          <w:szCs w:val="22"/>
        </w:rPr>
        <w:t xml:space="preserve">Kitchen Best Practices</w:t>
      </w:r>
      <w:r>
        <w:rPr>
          <w:rFonts w:ascii="Times New Roman" w:cs="Times New Roman" w:eastAsia="Times New Roman" w:hAnsi="Times New Roman"/>
          <w:sz w:val="22"/>
          <w:szCs w:val="22"/>
        </w:rPr>
        <w:t xml:space="preserve"> — recipes for success in a fast-paced environment.</w:t>
      </w:r>
    </w:p>
    <w:p>
      <w:pPr>
        <w:spacing w:after="120"/>
        <w:jc w:val="left"/>
      </w:pPr>
      <w:r>
        <w:rPr>
          <w:rFonts w:ascii="Times New Roman" w:cs="Times New Roman" w:eastAsia="Times New Roman" w:hAnsi="Times New Roman"/>
          <w:sz w:val="22"/>
          <w:szCs w:val="22"/>
        </w:rPr>
        <w:t xml:space="preserve">Alongside these, clear policy documentation across the board. Not vague expectations — specific, written, referenceable. The kind of document that ends arguments instead of starting them.</w:t>
      </w:r>
    </w:p>
    <w:p>
      <w:pPr>
        <w:pBdr>
          <w:bottom w:val="single" w:color="AAAAAA" w:sz="4" w:space="6"/>
        </w:pBdr>
        <w:spacing w:after="120" w:before="240"/>
      </w:pPr>
      <w:r>
        <w:t xml:space="preserve"/>
      </w:r>
    </w:p>
    <w:p>
      <w:pPr>
        <w:spacing w:after="100" w:before="320"/>
      </w:pPr>
      <w:r>
        <w:rPr>
          <w:rFonts w:ascii="Times New Roman" w:cs="Times New Roman" w:eastAsia="Times New Roman" w:hAnsi="Times New Roman"/>
          <w:b/>
          <w:bCs/>
          <w:sz w:val="24"/>
          <w:szCs w:val="24"/>
        </w:rPr>
        <w:t xml:space="preserve">THE BOTTOMLINE</w:t>
      </w:r>
    </w:p>
    <w:p>
      <w:pPr>
        <w:spacing w:after="120"/>
        <w:jc w:val="left"/>
      </w:pPr>
      <w:r>
        <w:rPr>
          <w:rFonts w:ascii="Times New Roman" w:cs="Times New Roman" w:eastAsia="Times New Roman" w:hAnsi="Times New Roman"/>
          <w:b/>
          <w:bCs/>
          <w:sz w:val="22"/>
          <w:szCs w:val="22"/>
        </w:rPr>
        <w:t xml:space="preserve">This is ready.</w:t>
      </w:r>
      <w:r>
        <w:rPr>
          <w:rFonts w:ascii="Times New Roman" w:cs="Times New Roman" w:eastAsia="Times New Roman" w:hAnsi="Times New Roman"/>
          <w:sz w:val="22"/>
          <w:szCs w:val="22"/>
        </w:rPr>
        <w:t xml:space="preserve"> The cards, recipes, prep directions, and pairing engine are comprehensive, audited, and deployed locally. The quality discipline is in place — not promised, demonstrated. Gated hosting and the position modules are the next build, and they ship the moment this product is green-lighted.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Bowdie’s Chophouse  •  Prepared by Gabriel Collins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2026-04-27T20:26:39.063Z</dcterms:created>
  <dcterms:modified xsi:type="dcterms:W3CDTF">2026-04-27T20:26:39.072Z</dcterms:modified>
</cp:coreProperties>
</file>

<file path=docProps/custom.xml><?xml version="1.0" encoding="utf-8"?>
<Properties xmlns="http://schemas.openxmlformats.org/officeDocument/2006/custom-properties" xmlns:vt="http://schemas.openxmlformats.org/officeDocument/2006/docPropsVTypes"/>
</file>